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B5" w:rsidRPr="007E60B6" w:rsidRDefault="00CB01B5" w:rsidP="00B4445E">
      <w:pPr>
        <w:pStyle w:val="NormalWeb"/>
        <w:jc w:val="center"/>
        <w:rPr>
          <w:b/>
          <w:sz w:val="32"/>
          <w:szCs w:val="32"/>
        </w:rPr>
      </w:pPr>
      <w:r w:rsidRPr="007E60B6">
        <w:rPr>
          <w:b/>
          <w:sz w:val="32"/>
          <w:szCs w:val="32"/>
        </w:rPr>
        <w:t>JEFFREY C. DIEBOLD</w:t>
      </w:r>
    </w:p>
    <w:p w:rsidR="00CB01B5" w:rsidRPr="00B4445E" w:rsidRDefault="00CB01B5" w:rsidP="00EB0654">
      <w:pPr>
        <w:jc w:val="center"/>
        <w:rPr>
          <w:sz w:val="20"/>
          <w:szCs w:val="20"/>
        </w:rPr>
      </w:pPr>
    </w:p>
    <w:p w:rsidR="00CB01B5" w:rsidRPr="00B4445E" w:rsidRDefault="00140E8E" w:rsidP="0045196B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North Carolina State University</w:t>
      </w:r>
      <w:r w:rsidR="00CB01B5" w:rsidRPr="00B4445E">
        <w:rPr>
          <w:sz w:val="22"/>
          <w:szCs w:val="22"/>
        </w:rPr>
        <w:tab/>
      </w:r>
      <w:r w:rsidR="00CB01B5" w:rsidRPr="00B4445E">
        <w:rPr>
          <w:sz w:val="22"/>
          <w:szCs w:val="22"/>
        </w:rPr>
        <w:tab/>
      </w:r>
      <w:r w:rsidR="00CB01B5" w:rsidRPr="00B4445E">
        <w:rPr>
          <w:sz w:val="22"/>
          <w:szCs w:val="22"/>
        </w:rPr>
        <w:tab/>
      </w:r>
      <w:r w:rsidR="00CB01B5" w:rsidRPr="00B4445E">
        <w:rPr>
          <w:sz w:val="22"/>
          <w:szCs w:val="22"/>
        </w:rPr>
        <w:tab/>
      </w:r>
      <w:r w:rsidR="00CB01B5" w:rsidRPr="00B4445E">
        <w:rPr>
          <w:sz w:val="22"/>
          <w:szCs w:val="22"/>
        </w:rPr>
        <w:tab/>
      </w:r>
      <w:r w:rsidR="00CB01B5" w:rsidRPr="00B4445E">
        <w:rPr>
          <w:sz w:val="22"/>
          <w:szCs w:val="22"/>
        </w:rPr>
        <w:tab/>
      </w:r>
      <w:r>
        <w:rPr>
          <w:sz w:val="22"/>
          <w:szCs w:val="22"/>
        </w:rPr>
        <w:t>Office Phone: (919) 515</w:t>
      </w:r>
      <w:r w:rsidR="00CB01B5" w:rsidRPr="00B4445E">
        <w:rPr>
          <w:sz w:val="22"/>
          <w:szCs w:val="22"/>
        </w:rPr>
        <w:t>-</w:t>
      </w:r>
      <w:r>
        <w:rPr>
          <w:sz w:val="22"/>
          <w:szCs w:val="22"/>
        </w:rPr>
        <w:t>5125</w:t>
      </w:r>
    </w:p>
    <w:p w:rsidR="00CB01B5" w:rsidRPr="00B4445E" w:rsidRDefault="00140E8E" w:rsidP="0045196B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Department of Public Administration </w:t>
      </w:r>
    </w:p>
    <w:p w:rsidR="00CB01B5" w:rsidRPr="00B4445E" w:rsidRDefault="00140E8E" w:rsidP="0045196B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212 Caldwell Hall, Campus Box 8102</w:t>
      </w:r>
    </w:p>
    <w:p w:rsidR="00CB01B5" w:rsidRPr="00B4445E" w:rsidRDefault="00140E8E" w:rsidP="0045196B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Raleigh, NC 27695</w:t>
      </w:r>
    </w:p>
    <w:p w:rsidR="00CB01B5" w:rsidRPr="00B4445E" w:rsidRDefault="00CB01B5" w:rsidP="00177618">
      <w:pPr>
        <w:rPr>
          <w:sz w:val="22"/>
          <w:szCs w:val="22"/>
        </w:rPr>
      </w:pPr>
    </w:p>
    <w:p w:rsidR="00CB01B5" w:rsidRPr="00B4445E" w:rsidRDefault="00CB01B5" w:rsidP="00177618">
      <w:pPr>
        <w:rPr>
          <w:b/>
          <w:sz w:val="22"/>
          <w:szCs w:val="22"/>
          <w:u w:val="single"/>
        </w:rPr>
      </w:pPr>
      <w:r w:rsidRPr="00B4445E">
        <w:rPr>
          <w:b/>
          <w:sz w:val="22"/>
          <w:szCs w:val="22"/>
          <w:u w:val="single"/>
        </w:rPr>
        <w:t xml:space="preserve">Education </w:t>
      </w:r>
    </w:p>
    <w:p w:rsidR="00CB01B5" w:rsidRPr="00B4445E" w:rsidRDefault="00CB01B5" w:rsidP="00177618">
      <w:pPr>
        <w:rPr>
          <w:sz w:val="22"/>
          <w:szCs w:val="22"/>
        </w:rPr>
      </w:pPr>
    </w:p>
    <w:p w:rsidR="00CB01B5" w:rsidRPr="00B4445E" w:rsidRDefault="00CB01B5" w:rsidP="0045196B">
      <w:pPr>
        <w:rPr>
          <w:sz w:val="22"/>
          <w:szCs w:val="22"/>
        </w:rPr>
      </w:pPr>
      <w:r w:rsidRPr="00B4445E">
        <w:rPr>
          <w:sz w:val="22"/>
          <w:szCs w:val="22"/>
        </w:rPr>
        <w:t xml:space="preserve">Ph.D. </w:t>
      </w:r>
      <w:r w:rsidRPr="00B4445E">
        <w:rPr>
          <w:sz w:val="22"/>
          <w:szCs w:val="22"/>
        </w:rPr>
        <w:tab/>
        <w:t>Public Policy, University of North Carolina at Chapel Hill, 2012</w:t>
      </w:r>
      <w:r w:rsidRPr="00B4445E">
        <w:rPr>
          <w:b/>
          <w:sz w:val="22"/>
          <w:szCs w:val="22"/>
        </w:rPr>
        <w:tab/>
      </w:r>
      <w:r w:rsidRPr="00B4445E">
        <w:rPr>
          <w:b/>
          <w:sz w:val="22"/>
          <w:szCs w:val="22"/>
        </w:rPr>
        <w:tab/>
      </w:r>
      <w:r w:rsidRPr="00B4445E">
        <w:rPr>
          <w:sz w:val="22"/>
          <w:szCs w:val="22"/>
        </w:rPr>
        <w:tab/>
      </w:r>
    </w:p>
    <w:p w:rsidR="00CB01B5" w:rsidRPr="00B4445E" w:rsidRDefault="00CB01B5" w:rsidP="0045196B">
      <w:pPr>
        <w:rPr>
          <w:sz w:val="22"/>
          <w:szCs w:val="22"/>
        </w:rPr>
      </w:pPr>
      <w:r w:rsidRPr="00B4445E">
        <w:rPr>
          <w:sz w:val="22"/>
          <w:szCs w:val="22"/>
        </w:rPr>
        <w:t>M.A.</w:t>
      </w:r>
      <w:r w:rsidRPr="00B4445E">
        <w:rPr>
          <w:sz w:val="22"/>
          <w:szCs w:val="22"/>
        </w:rPr>
        <w:tab/>
        <w:t xml:space="preserve">Public Policy, College of William and Mary, 2007 </w:t>
      </w:r>
    </w:p>
    <w:p w:rsidR="00CB01B5" w:rsidRPr="00B4445E" w:rsidRDefault="00CB01B5" w:rsidP="0045196B">
      <w:pPr>
        <w:rPr>
          <w:sz w:val="22"/>
          <w:szCs w:val="22"/>
        </w:rPr>
      </w:pPr>
      <w:r w:rsidRPr="00B4445E">
        <w:rPr>
          <w:sz w:val="22"/>
          <w:szCs w:val="22"/>
        </w:rPr>
        <w:t>B.A.</w:t>
      </w:r>
      <w:r w:rsidRPr="00B4445E">
        <w:rPr>
          <w:sz w:val="22"/>
          <w:szCs w:val="22"/>
        </w:rPr>
        <w:tab/>
        <w:t xml:space="preserve">Political Science, North Carolina State University, 2004 </w:t>
      </w:r>
    </w:p>
    <w:p w:rsidR="00CB01B5" w:rsidRPr="00B4445E" w:rsidRDefault="00CB01B5" w:rsidP="0045196B">
      <w:pPr>
        <w:rPr>
          <w:sz w:val="22"/>
          <w:szCs w:val="22"/>
        </w:rPr>
      </w:pPr>
    </w:p>
    <w:p w:rsidR="00615216" w:rsidRPr="00B4445E" w:rsidRDefault="00615216" w:rsidP="006152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Current A</w:t>
      </w:r>
      <w:r w:rsidRPr="00B4445E">
        <w:rPr>
          <w:b/>
          <w:sz w:val="22"/>
          <w:szCs w:val="22"/>
          <w:u w:val="single"/>
        </w:rPr>
        <w:t>ppointment</w:t>
      </w:r>
    </w:p>
    <w:p w:rsidR="00615216" w:rsidRPr="00B4445E" w:rsidRDefault="00615216" w:rsidP="00615216">
      <w:pPr>
        <w:rPr>
          <w:sz w:val="22"/>
          <w:szCs w:val="22"/>
        </w:rPr>
      </w:pPr>
    </w:p>
    <w:p w:rsidR="00615216" w:rsidRDefault="00615216" w:rsidP="00615216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2013- present</w:t>
      </w:r>
      <w:r>
        <w:rPr>
          <w:sz w:val="22"/>
          <w:szCs w:val="22"/>
        </w:rPr>
        <w:tab/>
        <w:t xml:space="preserve">Assistant Professor, Department of Public Administration, North Carolina State University. </w:t>
      </w:r>
    </w:p>
    <w:p w:rsidR="00615216" w:rsidRDefault="00615216" w:rsidP="0045196B">
      <w:pPr>
        <w:rPr>
          <w:b/>
          <w:sz w:val="22"/>
          <w:szCs w:val="22"/>
          <w:u w:val="single"/>
        </w:rPr>
      </w:pPr>
    </w:p>
    <w:p w:rsidR="00CB01B5" w:rsidRPr="00B4445E" w:rsidRDefault="00B26E3A" w:rsidP="0045196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Previous Appointments and Work Experience</w:t>
      </w:r>
    </w:p>
    <w:p w:rsidR="00CB01B5" w:rsidRPr="00B4445E" w:rsidRDefault="00CB01B5" w:rsidP="00177618">
      <w:pPr>
        <w:rPr>
          <w:b/>
          <w:sz w:val="22"/>
          <w:szCs w:val="22"/>
        </w:rPr>
      </w:pPr>
    </w:p>
    <w:p w:rsidR="00B26E3A" w:rsidRDefault="00B26E3A" w:rsidP="00B26E3A">
      <w:pPr>
        <w:ind w:left="2160" w:hanging="2160"/>
        <w:rPr>
          <w:sz w:val="22"/>
          <w:szCs w:val="22"/>
        </w:rPr>
      </w:pPr>
      <w:r w:rsidRPr="00B4445E">
        <w:rPr>
          <w:sz w:val="22"/>
          <w:szCs w:val="22"/>
        </w:rPr>
        <w:t>2011 –</w:t>
      </w:r>
      <w:r>
        <w:rPr>
          <w:sz w:val="22"/>
          <w:szCs w:val="22"/>
        </w:rPr>
        <w:t>2013</w:t>
      </w:r>
      <w:r w:rsidRPr="00B4445E">
        <w:rPr>
          <w:sz w:val="22"/>
          <w:szCs w:val="22"/>
        </w:rPr>
        <w:tab/>
      </w:r>
      <w:r w:rsidR="00CB7DC1">
        <w:rPr>
          <w:sz w:val="22"/>
          <w:szCs w:val="22"/>
        </w:rPr>
        <w:t xml:space="preserve">The Brookings Institution, </w:t>
      </w:r>
      <w:r w:rsidRPr="00B4445E">
        <w:rPr>
          <w:sz w:val="22"/>
          <w:szCs w:val="22"/>
        </w:rPr>
        <w:t>Senior Research Associate</w:t>
      </w:r>
      <w:r w:rsidR="00CB7DC1">
        <w:rPr>
          <w:sz w:val="22"/>
          <w:szCs w:val="22"/>
        </w:rPr>
        <w:t xml:space="preserve"> in Economic Studies. </w:t>
      </w:r>
    </w:p>
    <w:p w:rsidR="00B26E3A" w:rsidRDefault="00B26E3A" w:rsidP="00B26E3A">
      <w:pPr>
        <w:ind w:left="2160" w:hanging="2160"/>
        <w:rPr>
          <w:sz w:val="22"/>
          <w:szCs w:val="22"/>
        </w:rPr>
      </w:pPr>
      <w:r w:rsidRPr="00B26E3A">
        <w:rPr>
          <w:sz w:val="22"/>
          <w:szCs w:val="22"/>
        </w:rPr>
        <w:t>2010-2011</w:t>
      </w:r>
      <w:r w:rsidRPr="00B26E3A">
        <w:rPr>
          <w:sz w:val="22"/>
          <w:szCs w:val="22"/>
        </w:rPr>
        <w:tab/>
        <w:t>Global Research Institute, University of North Carolina at Chapel Hill, Research Assistant</w:t>
      </w:r>
    </w:p>
    <w:p w:rsidR="00B26E3A" w:rsidRDefault="00B26E3A" w:rsidP="00B26E3A">
      <w:pPr>
        <w:ind w:left="2160" w:hanging="2160"/>
        <w:rPr>
          <w:sz w:val="22"/>
          <w:szCs w:val="22"/>
        </w:rPr>
      </w:pPr>
      <w:r w:rsidRPr="00B26E3A">
        <w:rPr>
          <w:sz w:val="22"/>
          <w:szCs w:val="22"/>
        </w:rPr>
        <w:t>2010</w:t>
      </w:r>
      <w:r w:rsidRPr="00B26E3A">
        <w:rPr>
          <w:sz w:val="22"/>
          <w:szCs w:val="22"/>
        </w:rPr>
        <w:tab/>
        <w:t>Center on Work, Poverty and Opportunity, University of North Carolina at Chapel Hill, Research Assistant</w:t>
      </w:r>
    </w:p>
    <w:p w:rsidR="00B26E3A" w:rsidRDefault="00B26E3A" w:rsidP="00B26E3A">
      <w:pPr>
        <w:ind w:left="2160" w:hanging="2160"/>
        <w:rPr>
          <w:sz w:val="22"/>
          <w:szCs w:val="22"/>
        </w:rPr>
      </w:pPr>
      <w:r w:rsidRPr="00B26E3A">
        <w:rPr>
          <w:sz w:val="22"/>
          <w:szCs w:val="22"/>
        </w:rPr>
        <w:t>2009-2010</w:t>
      </w:r>
      <w:r w:rsidRPr="00B26E3A">
        <w:rPr>
          <w:sz w:val="22"/>
          <w:szCs w:val="22"/>
        </w:rPr>
        <w:tab/>
        <w:t>Institute on Aging, University of North Carolina at Chapel Hill, Research Assistant</w:t>
      </w:r>
    </w:p>
    <w:p w:rsidR="00B26E3A" w:rsidRDefault="00B26E3A" w:rsidP="00B26E3A">
      <w:pPr>
        <w:ind w:left="2160" w:hanging="2160"/>
        <w:rPr>
          <w:sz w:val="22"/>
          <w:szCs w:val="22"/>
        </w:rPr>
      </w:pPr>
      <w:r w:rsidRPr="00B26E3A">
        <w:rPr>
          <w:sz w:val="22"/>
          <w:szCs w:val="22"/>
        </w:rPr>
        <w:t>2008-2009</w:t>
      </w:r>
      <w:r w:rsidRPr="00B26E3A">
        <w:rPr>
          <w:sz w:val="22"/>
          <w:szCs w:val="22"/>
        </w:rPr>
        <w:tab/>
        <w:t>Center for Community Capital, University of North Carolina at Chapel Hill, Research Assistant</w:t>
      </w:r>
    </w:p>
    <w:p w:rsidR="00CB01B5" w:rsidRPr="00B4445E" w:rsidRDefault="00CB01B5" w:rsidP="00CF3801">
      <w:pPr>
        <w:rPr>
          <w:b/>
          <w:sz w:val="22"/>
          <w:szCs w:val="22"/>
        </w:rPr>
      </w:pPr>
    </w:p>
    <w:p w:rsidR="00CB01B5" w:rsidRDefault="00311DCE" w:rsidP="00CF380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Peer-Reviewed </w:t>
      </w:r>
      <w:r w:rsidR="00CB01B5" w:rsidRPr="00B4445E">
        <w:rPr>
          <w:b/>
          <w:sz w:val="22"/>
          <w:szCs w:val="22"/>
          <w:u w:val="single"/>
        </w:rPr>
        <w:t>Publications</w:t>
      </w:r>
    </w:p>
    <w:p w:rsidR="0092450F" w:rsidRPr="0010792D" w:rsidRDefault="0010792D" w:rsidP="00CF3801">
      <w:pPr>
        <w:rPr>
          <w:b/>
          <w:sz w:val="22"/>
          <w:szCs w:val="22"/>
          <w:u w:val="single"/>
        </w:rPr>
      </w:pPr>
      <w:r w:rsidRPr="0010792D">
        <w:rPr>
          <w:sz w:val="22"/>
          <w:szCs w:val="22"/>
        </w:rPr>
        <w:t>* Denotes</w:t>
      </w:r>
      <w:r w:rsidR="00965ADB">
        <w:rPr>
          <w:sz w:val="22"/>
          <w:szCs w:val="22"/>
        </w:rPr>
        <w:t xml:space="preserve"> works co-authored</w:t>
      </w:r>
      <w:r>
        <w:rPr>
          <w:sz w:val="22"/>
          <w:szCs w:val="22"/>
        </w:rPr>
        <w:t xml:space="preserve"> with pre-candidacy students. </w:t>
      </w:r>
      <w:r w:rsidRPr="0010792D">
        <w:rPr>
          <w:b/>
          <w:sz w:val="22"/>
          <w:szCs w:val="22"/>
          <w:u w:val="single"/>
        </w:rPr>
        <w:t xml:space="preserve"> </w:t>
      </w:r>
    </w:p>
    <w:p w:rsidR="0010792D" w:rsidRDefault="0010792D" w:rsidP="00CF3801">
      <w:pPr>
        <w:rPr>
          <w:b/>
          <w:sz w:val="22"/>
          <w:szCs w:val="22"/>
          <w:u w:val="single"/>
        </w:rPr>
      </w:pPr>
    </w:p>
    <w:p w:rsidR="00663C2C" w:rsidRPr="00525DA9" w:rsidRDefault="00663C2C" w:rsidP="002219EF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Camilleri</w:t>
      </w:r>
      <w:proofErr w:type="spellEnd"/>
      <w:r>
        <w:rPr>
          <w:sz w:val="22"/>
          <w:szCs w:val="22"/>
        </w:rPr>
        <w:t xml:space="preserve">, Susan and </w:t>
      </w:r>
      <w:r w:rsidRPr="00C2395B">
        <w:rPr>
          <w:b/>
          <w:sz w:val="22"/>
          <w:szCs w:val="22"/>
        </w:rPr>
        <w:t>Jeffrey Diebold</w:t>
      </w:r>
      <w:r>
        <w:rPr>
          <w:sz w:val="22"/>
          <w:szCs w:val="22"/>
        </w:rPr>
        <w:t xml:space="preserve"> (</w:t>
      </w:r>
      <w:r w:rsidR="008C5D77">
        <w:rPr>
          <w:sz w:val="22"/>
          <w:szCs w:val="22"/>
        </w:rPr>
        <w:t>2019</w:t>
      </w:r>
      <w:r>
        <w:rPr>
          <w:sz w:val="22"/>
          <w:szCs w:val="22"/>
        </w:rPr>
        <w:t>). “Hospital Uncompensated C</w:t>
      </w:r>
      <w:r w:rsidR="002219EF">
        <w:rPr>
          <w:sz w:val="22"/>
          <w:szCs w:val="22"/>
        </w:rPr>
        <w:t xml:space="preserve">are and Patient </w:t>
      </w:r>
      <w:r>
        <w:rPr>
          <w:sz w:val="22"/>
          <w:szCs w:val="22"/>
        </w:rPr>
        <w:t xml:space="preserve">Experience: An Instrumental Variable Approach” </w:t>
      </w:r>
      <w:r w:rsidRPr="00525DA9">
        <w:rPr>
          <w:i/>
          <w:sz w:val="22"/>
          <w:szCs w:val="22"/>
        </w:rPr>
        <w:t>Health Services Research</w:t>
      </w:r>
    </w:p>
    <w:p w:rsidR="00663C2C" w:rsidRDefault="00663C2C" w:rsidP="002247C0">
      <w:pPr>
        <w:jc w:val="both"/>
        <w:rPr>
          <w:sz w:val="22"/>
          <w:szCs w:val="22"/>
        </w:rPr>
      </w:pPr>
    </w:p>
    <w:p w:rsidR="002247C0" w:rsidRDefault="002247C0" w:rsidP="002219EF">
      <w:pPr>
        <w:ind w:left="360" w:hanging="360"/>
        <w:jc w:val="both"/>
        <w:rPr>
          <w:sz w:val="22"/>
          <w:szCs w:val="22"/>
        </w:rPr>
      </w:pPr>
      <w:r w:rsidRPr="00C2395B">
        <w:rPr>
          <w:b/>
          <w:sz w:val="22"/>
          <w:szCs w:val="22"/>
        </w:rPr>
        <w:t>Diebold, Jeffrey</w:t>
      </w:r>
      <w:r>
        <w:rPr>
          <w:sz w:val="22"/>
          <w:szCs w:val="22"/>
        </w:rPr>
        <w:t xml:space="preserve"> and Jerrell </w:t>
      </w:r>
      <w:proofErr w:type="spellStart"/>
      <w:r>
        <w:rPr>
          <w:sz w:val="22"/>
          <w:szCs w:val="22"/>
        </w:rPr>
        <w:t>Coggburn</w:t>
      </w:r>
      <w:proofErr w:type="spellEnd"/>
      <w:r>
        <w:rPr>
          <w:sz w:val="22"/>
          <w:szCs w:val="22"/>
        </w:rPr>
        <w:t xml:space="preserve"> (</w:t>
      </w:r>
      <w:r w:rsidR="008C5D77">
        <w:rPr>
          <w:sz w:val="22"/>
          <w:szCs w:val="22"/>
        </w:rPr>
        <w:t>2018</w:t>
      </w:r>
      <w:r>
        <w:rPr>
          <w:sz w:val="22"/>
          <w:szCs w:val="22"/>
        </w:rPr>
        <w:t>) “</w:t>
      </w:r>
      <w:r w:rsidRPr="00863BBD">
        <w:rPr>
          <w:sz w:val="22"/>
          <w:szCs w:val="22"/>
        </w:rPr>
        <w:t>The Determinants and Opportunity Costs of External Management Fees for State-Administered Pension Plans</w:t>
      </w:r>
      <w:r>
        <w:rPr>
          <w:sz w:val="22"/>
          <w:szCs w:val="22"/>
        </w:rPr>
        <w:t xml:space="preserve">” </w:t>
      </w:r>
      <w:r w:rsidRPr="007A175A">
        <w:rPr>
          <w:i/>
          <w:sz w:val="22"/>
          <w:szCs w:val="22"/>
        </w:rPr>
        <w:t xml:space="preserve">Public </w:t>
      </w:r>
      <w:r>
        <w:rPr>
          <w:i/>
          <w:sz w:val="22"/>
          <w:szCs w:val="22"/>
        </w:rPr>
        <w:t>Budgeting and Finance</w:t>
      </w:r>
    </w:p>
    <w:p w:rsidR="00785D63" w:rsidRPr="00785D63" w:rsidRDefault="00785D63" w:rsidP="00785D63">
      <w:pPr>
        <w:ind w:left="360" w:hanging="360"/>
        <w:jc w:val="both"/>
        <w:rPr>
          <w:sz w:val="22"/>
          <w:szCs w:val="22"/>
        </w:rPr>
      </w:pPr>
      <w:r w:rsidRPr="00785D63">
        <w:rPr>
          <w:b/>
          <w:i/>
          <w:sz w:val="22"/>
          <w:szCs w:val="22"/>
        </w:rPr>
        <w:tab/>
      </w:r>
      <w:r w:rsidRPr="00785D63">
        <w:rPr>
          <w:b/>
          <w:sz w:val="22"/>
          <w:szCs w:val="22"/>
        </w:rPr>
        <w:t xml:space="preserve">Winner of the Jesse </w:t>
      </w:r>
      <w:proofErr w:type="spellStart"/>
      <w:r w:rsidRPr="00785D63">
        <w:rPr>
          <w:b/>
          <w:sz w:val="22"/>
          <w:szCs w:val="22"/>
        </w:rPr>
        <w:t>Burkhead</w:t>
      </w:r>
      <w:proofErr w:type="spellEnd"/>
      <w:r w:rsidRPr="00785D63">
        <w:rPr>
          <w:b/>
          <w:sz w:val="22"/>
          <w:szCs w:val="22"/>
        </w:rPr>
        <w:t xml:space="preserve"> Award for the best article published in </w:t>
      </w:r>
      <w:r w:rsidRPr="00785D63">
        <w:rPr>
          <w:b/>
          <w:i/>
          <w:sz w:val="22"/>
          <w:szCs w:val="22"/>
        </w:rPr>
        <w:t>Public Budgeting and Finance</w:t>
      </w:r>
      <w:r w:rsidRPr="00785D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 w:rsidRPr="00785D63">
        <w:rPr>
          <w:b/>
          <w:sz w:val="22"/>
          <w:szCs w:val="22"/>
        </w:rPr>
        <w:t xml:space="preserve"> 2019.</w:t>
      </w:r>
    </w:p>
    <w:p w:rsidR="002247C0" w:rsidRDefault="002247C0" w:rsidP="0010792D">
      <w:pPr>
        <w:jc w:val="both"/>
        <w:rPr>
          <w:sz w:val="22"/>
          <w:szCs w:val="22"/>
        </w:rPr>
      </w:pPr>
    </w:p>
    <w:p w:rsidR="0010792D" w:rsidRDefault="0010792D" w:rsidP="002219E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C2395B">
        <w:rPr>
          <w:b/>
          <w:sz w:val="22"/>
          <w:szCs w:val="22"/>
        </w:rPr>
        <w:t>Diebold, Jeffrey</w:t>
      </w:r>
      <w:r>
        <w:rPr>
          <w:sz w:val="22"/>
          <w:szCs w:val="22"/>
        </w:rPr>
        <w:t xml:space="preserve"> and Susan </w:t>
      </w:r>
      <w:proofErr w:type="spellStart"/>
      <w:r>
        <w:rPr>
          <w:sz w:val="22"/>
          <w:szCs w:val="22"/>
        </w:rPr>
        <w:t>Camilleri</w:t>
      </w:r>
      <w:proofErr w:type="spellEnd"/>
      <w:r w:rsidR="000E495C">
        <w:rPr>
          <w:sz w:val="22"/>
          <w:szCs w:val="22"/>
        </w:rPr>
        <w:t xml:space="preserve"> (</w:t>
      </w:r>
      <w:r w:rsidR="008C5D77">
        <w:rPr>
          <w:sz w:val="22"/>
          <w:szCs w:val="22"/>
        </w:rPr>
        <w:t>2018</w:t>
      </w:r>
      <w:r w:rsidR="000E495C">
        <w:rPr>
          <w:sz w:val="22"/>
          <w:szCs w:val="22"/>
        </w:rPr>
        <w:t>)</w:t>
      </w:r>
      <w:r>
        <w:rPr>
          <w:sz w:val="22"/>
          <w:szCs w:val="22"/>
        </w:rPr>
        <w:t>. “</w:t>
      </w:r>
      <w:r w:rsidRPr="0028366E">
        <w:rPr>
          <w:sz w:val="22"/>
          <w:szCs w:val="22"/>
        </w:rPr>
        <w:t>An Experiment Linking Claim Ages and Survivor Benefits in the Social Security Statement</w:t>
      </w:r>
      <w:r>
        <w:rPr>
          <w:sz w:val="22"/>
          <w:szCs w:val="22"/>
        </w:rPr>
        <w:t xml:space="preserve">” </w:t>
      </w:r>
      <w:r w:rsidRPr="00E866EB">
        <w:rPr>
          <w:i/>
          <w:sz w:val="22"/>
          <w:szCs w:val="22"/>
        </w:rPr>
        <w:t xml:space="preserve">Journal of </w:t>
      </w:r>
      <w:r w:rsidR="00B44ED5">
        <w:rPr>
          <w:i/>
          <w:sz w:val="22"/>
          <w:szCs w:val="22"/>
        </w:rPr>
        <w:t>Pension</w:t>
      </w:r>
      <w:r>
        <w:rPr>
          <w:i/>
          <w:sz w:val="22"/>
          <w:szCs w:val="22"/>
        </w:rPr>
        <w:t xml:space="preserve"> Economics</w:t>
      </w:r>
      <w:r w:rsidR="00B44ED5">
        <w:rPr>
          <w:i/>
          <w:sz w:val="22"/>
          <w:szCs w:val="22"/>
        </w:rPr>
        <w:t xml:space="preserve"> and Finance</w:t>
      </w:r>
    </w:p>
    <w:p w:rsidR="0010792D" w:rsidRDefault="0010792D" w:rsidP="00863BBD">
      <w:pPr>
        <w:rPr>
          <w:sz w:val="22"/>
          <w:szCs w:val="22"/>
        </w:rPr>
      </w:pPr>
    </w:p>
    <w:p w:rsidR="00863BBD" w:rsidRDefault="0010792D" w:rsidP="002219EF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*</w:t>
      </w:r>
      <w:r w:rsidR="00863BBD" w:rsidRPr="00C2395B">
        <w:rPr>
          <w:b/>
          <w:sz w:val="22"/>
          <w:szCs w:val="22"/>
        </w:rPr>
        <w:t>Diebold, Jeffrey</w:t>
      </w:r>
      <w:r w:rsidR="00863BBD">
        <w:rPr>
          <w:sz w:val="22"/>
          <w:szCs w:val="22"/>
        </w:rPr>
        <w:t xml:space="preserve">, </w:t>
      </w:r>
      <w:proofErr w:type="spellStart"/>
      <w:r w:rsidR="00863BBD">
        <w:rPr>
          <w:sz w:val="22"/>
          <w:szCs w:val="22"/>
        </w:rPr>
        <w:t>Reitano</w:t>
      </w:r>
      <w:proofErr w:type="spellEnd"/>
      <w:r w:rsidR="00863BBD">
        <w:rPr>
          <w:sz w:val="22"/>
          <w:szCs w:val="22"/>
        </w:rPr>
        <w:t>, Vincent, and Bruce McDonald (</w:t>
      </w:r>
      <w:r w:rsidR="006B562B">
        <w:rPr>
          <w:sz w:val="22"/>
          <w:szCs w:val="22"/>
        </w:rPr>
        <w:t>2017</w:t>
      </w:r>
      <w:r w:rsidR="00863BBD">
        <w:rPr>
          <w:sz w:val="22"/>
          <w:szCs w:val="22"/>
        </w:rPr>
        <w:t>). “</w:t>
      </w:r>
      <w:r w:rsidR="00863BBD" w:rsidRPr="00682A2F">
        <w:rPr>
          <w:sz w:val="22"/>
          <w:szCs w:val="22"/>
        </w:rPr>
        <w:t>S</w:t>
      </w:r>
      <w:r w:rsidR="00863BBD">
        <w:rPr>
          <w:sz w:val="22"/>
          <w:szCs w:val="22"/>
        </w:rPr>
        <w:t>weat the Small Stuff</w:t>
      </w:r>
      <w:r w:rsidR="00863BBD" w:rsidRPr="00682A2F">
        <w:rPr>
          <w:sz w:val="22"/>
          <w:szCs w:val="22"/>
        </w:rPr>
        <w:t xml:space="preserve">: </w:t>
      </w:r>
      <w:r w:rsidR="00863BBD">
        <w:rPr>
          <w:sz w:val="22"/>
          <w:szCs w:val="22"/>
        </w:rPr>
        <w:t>Strategic selection of pension policies used to defer required contributions from the state</w:t>
      </w:r>
      <w:r w:rsidR="00863BBD" w:rsidRPr="00682A2F">
        <w:rPr>
          <w:sz w:val="22"/>
          <w:szCs w:val="22"/>
        </w:rPr>
        <w:t>.</w:t>
      </w:r>
      <w:r w:rsidR="00863BBD">
        <w:rPr>
          <w:sz w:val="22"/>
          <w:szCs w:val="22"/>
        </w:rPr>
        <w:t xml:space="preserve">” </w:t>
      </w:r>
      <w:r w:rsidR="00863BBD" w:rsidRPr="00874740">
        <w:rPr>
          <w:i/>
          <w:sz w:val="22"/>
          <w:szCs w:val="22"/>
        </w:rPr>
        <w:t>Contemporary Economic Policy</w:t>
      </w:r>
      <w:r w:rsidR="00863BBD">
        <w:rPr>
          <w:i/>
          <w:sz w:val="22"/>
          <w:szCs w:val="22"/>
        </w:rPr>
        <w:t xml:space="preserve">. </w:t>
      </w:r>
    </w:p>
    <w:p w:rsidR="00863BBD" w:rsidRDefault="00863BBD" w:rsidP="00863BBD">
      <w:pPr>
        <w:rPr>
          <w:sz w:val="22"/>
          <w:szCs w:val="22"/>
        </w:rPr>
      </w:pPr>
    </w:p>
    <w:p w:rsidR="00863BBD" w:rsidRDefault="00863BBD" w:rsidP="002219EF">
      <w:pPr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Moulton, Jeremy, </w:t>
      </w:r>
      <w:r w:rsidRPr="00C2395B">
        <w:rPr>
          <w:b/>
          <w:sz w:val="22"/>
          <w:szCs w:val="22"/>
        </w:rPr>
        <w:t>Diebold, Jeffrey</w:t>
      </w:r>
      <w:r>
        <w:rPr>
          <w:sz w:val="22"/>
          <w:szCs w:val="22"/>
        </w:rPr>
        <w:t>, and John Scott (2017). “</w:t>
      </w:r>
      <w:r w:rsidRPr="00023244">
        <w:rPr>
          <w:sz w:val="22"/>
          <w:szCs w:val="22"/>
        </w:rPr>
        <w:t>The Impact of Affordable Health Insurance on Self-Employment and Retirement Decision-Making</w:t>
      </w:r>
      <w:r>
        <w:rPr>
          <w:sz w:val="22"/>
          <w:szCs w:val="22"/>
        </w:rPr>
        <w:t xml:space="preserve">” </w:t>
      </w:r>
      <w:r w:rsidRPr="00023244">
        <w:rPr>
          <w:i/>
          <w:sz w:val="22"/>
          <w:szCs w:val="22"/>
        </w:rPr>
        <w:t>Research on Aging</w:t>
      </w:r>
      <w:r>
        <w:rPr>
          <w:i/>
          <w:sz w:val="22"/>
          <w:szCs w:val="22"/>
        </w:rPr>
        <w:t xml:space="preserve">. </w:t>
      </w:r>
    </w:p>
    <w:p w:rsidR="002C1E2A" w:rsidRDefault="002C1E2A" w:rsidP="002C1E2A">
      <w:pPr>
        <w:jc w:val="both"/>
        <w:rPr>
          <w:sz w:val="22"/>
          <w:szCs w:val="22"/>
        </w:rPr>
      </w:pPr>
    </w:p>
    <w:p w:rsidR="002C1E2A" w:rsidRPr="001E5526" w:rsidRDefault="002C1E2A" w:rsidP="002219EF">
      <w:pPr>
        <w:ind w:left="360" w:hanging="360"/>
        <w:jc w:val="both"/>
        <w:rPr>
          <w:i/>
          <w:sz w:val="22"/>
          <w:szCs w:val="22"/>
        </w:rPr>
      </w:pPr>
      <w:r w:rsidRPr="001E5526">
        <w:rPr>
          <w:sz w:val="22"/>
          <w:szCs w:val="22"/>
        </w:rPr>
        <w:t xml:space="preserve">Stewart, Amanda and </w:t>
      </w:r>
      <w:r w:rsidRPr="00C2395B">
        <w:rPr>
          <w:b/>
          <w:sz w:val="22"/>
          <w:szCs w:val="22"/>
        </w:rPr>
        <w:t>Jeffrey Diebold</w:t>
      </w:r>
      <w:r>
        <w:rPr>
          <w:sz w:val="22"/>
          <w:szCs w:val="22"/>
        </w:rPr>
        <w:t xml:space="preserve"> (2017). </w:t>
      </w:r>
      <w:r w:rsidRPr="001E5526">
        <w:rPr>
          <w:sz w:val="22"/>
          <w:szCs w:val="22"/>
        </w:rPr>
        <w:t>Turnover at the Top: Exploring Performance-Turnover Sensitivity among Nonprofit Organizations</w:t>
      </w:r>
      <w:r>
        <w:rPr>
          <w:sz w:val="22"/>
          <w:szCs w:val="22"/>
        </w:rPr>
        <w:t xml:space="preserve">. </w:t>
      </w:r>
      <w:r w:rsidRPr="001E5526">
        <w:rPr>
          <w:i/>
          <w:sz w:val="22"/>
          <w:szCs w:val="22"/>
        </w:rPr>
        <w:t>Public Performance &amp; Management Review </w:t>
      </w:r>
    </w:p>
    <w:p w:rsidR="00863BBD" w:rsidRDefault="00863BBD" w:rsidP="002219EF">
      <w:pPr>
        <w:ind w:left="360" w:hanging="360"/>
        <w:rPr>
          <w:sz w:val="22"/>
          <w:szCs w:val="22"/>
        </w:rPr>
      </w:pPr>
    </w:p>
    <w:p w:rsidR="009A3331" w:rsidRDefault="009A3331" w:rsidP="002219EF">
      <w:pPr>
        <w:ind w:left="360" w:hanging="360"/>
        <w:rPr>
          <w:sz w:val="22"/>
          <w:szCs w:val="22"/>
        </w:rPr>
      </w:pPr>
      <w:r w:rsidRPr="00C2395B">
        <w:rPr>
          <w:b/>
          <w:sz w:val="22"/>
          <w:szCs w:val="22"/>
        </w:rPr>
        <w:t>Diebold, Jeffrey</w:t>
      </w:r>
      <w:r>
        <w:rPr>
          <w:sz w:val="22"/>
          <w:szCs w:val="22"/>
        </w:rPr>
        <w:t xml:space="preserve"> (2016). ‘The Short- and Long-Term Effects of Medicare Part D on Cost-Related Non-Adherence and Health Outcomes among the Newly Covered.” </w:t>
      </w:r>
      <w:r w:rsidRPr="00F80B6E">
        <w:rPr>
          <w:i/>
          <w:sz w:val="22"/>
          <w:szCs w:val="22"/>
        </w:rPr>
        <w:t>Journal</w:t>
      </w:r>
      <w:r w:rsidR="00AE751D">
        <w:rPr>
          <w:i/>
          <w:sz w:val="22"/>
          <w:szCs w:val="22"/>
        </w:rPr>
        <w:t>s</w:t>
      </w:r>
      <w:r w:rsidRPr="00F80B6E">
        <w:rPr>
          <w:i/>
          <w:sz w:val="22"/>
          <w:szCs w:val="22"/>
        </w:rPr>
        <w:t xml:space="preserve"> of Gerontology: </w:t>
      </w:r>
      <w:r w:rsidR="00907F1A">
        <w:rPr>
          <w:i/>
          <w:sz w:val="22"/>
          <w:szCs w:val="22"/>
        </w:rPr>
        <w:t>Series B.</w:t>
      </w:r>
    </w:p>
    <w:p w:rsidR="009A3331" w:rsidRDefault="009A3331" w:rsidP="002219EF">
      <w:pPr>
        <w:ind w:left="360" w:hanging="360"/>
      </w:pPr>
    </w:p>
    <w:p w:rsidR="009A3331" w:rsidRDefault="009A3331" w:rsidP="002219EF">
      <w:pPr>
        <w:ind w:left="360" w:hanging="360"/>
        <w:jc w:val="both"/>
        <w:rPr>
          <w:sz w:val="22"/>
          <w:szCs w:val="22"/>
        </w:rPr>
      </w:pPr>
      <w:r w:rsidRPr="00C2395B">
        <w:rPr>
          <w:b/>
          <w:sz w:val="22"/>
          <w:szCs w:val="22"/>
        </w:rPr>
        <w:t>Diebold, Jeffrey</w:t>
      </w:r>
      <w:r>
        <w:rPr>
          <w:sz w:val="22"/>
          <w:szCs w:val="22"/>
        </w:rPr>
        <w:t xml:space="preserve">, </w:t>
      </w:r>
      <w:r w:rsidR="003E5417">
        <w:rPr>
          <w:sz w:val="22"/>
          <w:szCs w:val="22"/>
        </w:rPr>
        <w:t xml:space="preserve">Moulton, Jeremy, and John </w:t>
      </w:r>
      <w:r>
        <w:rPr>
          <w:sz w:val="22"/>
          <w:szCs w:val="22"/>
        </w:rPr>
        <w:t>Scott (2016). “</w:t>
      </w:r>
      <w:r w:rsidRPr="00023244">
        <w:rPr>
          <w:sz w:val="22"/>
          <w:szCs w:val="22"/>
        </w:rPr>
        <w:t>Early Claiming of Higher-Earning Husbands, the Survivor Benefit, and the Incidence of Poverty among Recent Widows</w:t>
      </w:r>
      <w:r>
        <w:rPr>
          <w:sz w:val="22"/>
          <w:szCs w:val="22"/>
        </w:rPr>
        <w:t xml:space="preserve">.”  </w:t>
      </w:r>
      <w:r w:rsidRPr="00653E5B">
        <w:rPr>
          <w:i/>
          <w:sz w:val="22"/>
          <w:szCs w:val="22"/>
        </w:rPr>
        <w:t>Journal of Pension Economics and Finance</w:t>
      </w:r>
      <w:r>
        <w:rPr>
          <w:sz w:val="22"/>
          <w:szCs w:val="22"/>
        </w:rPr>
        <w:t>.</w:t>
      </w:r>
    </w:p>
    <w:p w:rsidR="009A3331" w:rsidRDefault="009A3331" w:rsidP="002219EF">
      <w:pPr>
        <w:ind w:left="360" w:hanging="360"/>
      </w:pPr>
    </w:p>
    <w:p w:rsidR="003E5417" w:rsidRPr="003E5417" w:rsidRDefault="003E5417" w:rsidP="002219EF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Neely, Stephen and </w:t>
      </w:r>
      <w:r w:rsidRPr="00C2395B">
        <w:rPr>
          <w:b/>
          <w:sz w:val="22"/>
          <w:szCs w:val="22"/>
        </w:rPr>
        <w:t>Jeffrey Diebold</w:t>
      </w:r>
      <w:r>
        <w:rPr>
          <w:sz w:val="22"/>
          <w:szCs w:val="22"/>
        </w:rPr>
        <w:t xml:space="preserve"> (</w:t>
      </w:r>
      <w:r w:rsidR="00911322">
        <w:rPr>
          <w:sz w:val="22"/>
          <w:szCs w:val="22"/>
        </w:rPr>
        <w:t>2016</w:t>
      </w:r>
      <w:r>
        <w:rPr>
          <w:sz w:val="22"/>
          <w:szCs w:val="22"/>
        </w:rPr>
        <w:t xml:space="preserve">). “Public Expenditures and the Production of Education.” </w:t>
      </w:r>
      <w:r w:rsidRPr="003E5417">
        <w:rPr>
          <w:i/>
          <w:sz w:val="22"/>
          <w:szCs w:val="22"/>
        </w:rPr>
        <w:t>Education Policy Analysis Archives</w:t>
      </w:r>
      <w:r>
        <w:rPr>
          <w:sz w:val="22"/>
          <w:szCs w:val="22"/>
        </w:rPr>
        <w:t>.</w:t>
      </w:r>
    </w:p>
    <w:p w:rsidR="009A3331" w:rsidRDefault="009A3331" w:rsidP="002219EF">
      <w:pPr>
        <w:ind w:left="360" w:hanging="360"/>
      </w:pPr>
    </w:p>
    <w:p w:rsidR="00C21CBA" w:rsidRDefault="00C21CBA" w:rsidP="002219EF">
      <w:pPr>
        <w:ind w:left="360" w:hanging="360"/>
        <w:rPr>
          <w:i/>
        </w:rPr>
      </w:pPr>
      <w:r w:rsidRPr="00911322">
        <w:rPr>
          <w:sz w:val="22"/>
        </w:rPr>
        <w:t xml:space="preserve">Scott, John and </w:t>
      </w:r>
      <w:r w:rsidRPr="00C2395B">
        <w:rPr>
          <w:b/>
          <w:sz w:val="22"/>
        </w:rPr>
        <w:t>Jeffrey Diebold</w:t>
      </w:r>
      <w:r w:rsidRPr="00911322">
        <w:rPr>
          <w:sz w:val="22"/>
        </w:rPr>
        <w:t xml:space="preserve"> (</w:t>
      </w:r>
      <w:r w:rsidR="00DD1110" w:rsidRPr="00911322">
        <w:rPr>
          <w:sz w:val="22"/>
        </w:rPr>
        <w:t>2014</w:t>
      </w:r>
      <w:r w:rsidRPr="00911322">
        <w:rPr>
          <w:sz w:val="22"/>
        </w:rPr>
        <w:t xml:space="preserve">). </w:t>
      </w:r>
      <w:r w:rsidR="00DD1110" w:rsidRPr="00911322">
        <w:rPr>
          <w:sz w:val="22"/>
        </w:rPr>
        <w:t xml:space="preserve">Annuities, </w:t>
      </w:r>
      <w:r w:rsidRPr="00911322">
        <w:rPr>
          <w:sz w:val="22"/>
        </w:rPr>
        <w:t>Credits and Deductions: An Experimental Test of the Relative Strength of Economic Incentives</w:t>
      </w:r>
      <w:r w:rsidRPr="00911322">
        <w:rPr>
          <w:sz w:val="20"/>
          <w:szCs w:val="22"/>
        </w:rPr>
        <w:t xml:space="preserve">. </w:t>
      </w:r>
      <w:r w:rsidRPr="00671F79">
        <w:rPr>
          <w:i/>
          <w:sz w:val="22"/>
          <w:szCs w:val="22"/>
        </w:rPr>
        <w:t>Journal of Retirement</w:t>
      </w:r>
      <w:r w:rsidR="009B30C0" w:rsidRPr="00671F79">
        <w:rPr>
          <w:i/>
        </w:rPr>
        <w:t>.</w:t>
      </w:r>
    </w:p>
    <w:p w:rsidR="006B562B" w:rsidRDefault="006B562B" w:rsidP="002219EF">
      <w:pPr>
        <w:ind w:left="360" w:hanging="360"/>
        <w:rPr>
          <w:i/>
        </w:rPr>
      </w:pPr>
    </w:p>
    <w:p w:rsidR="0092450F" w:rsidRPr="00B4445E" w:rsidRDefault="00311DCE" w:rsidP="0092450F">
      <w:pPr>
        <w:ind w:left="342" w:hanging="3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Work</w:t>
      </w:r>
      <w:r w:rsidR="0092450F" w:rsidRPr="00B4445E">
        <w:rPr>
          <w:b/>
          <w:sz w:val="22"/>
          <w:szCs w:val="22"/>
          <w:u w:val="single"/>
        </w:rPr>
        <w:t>in</w:t>
      </w:r>
      <w:r>
        <w:rPr>
          <w:b/>
          <w:sz w:val="22"/>
          <w:szCs w:val="22"/>
          <w:u w:val="single"/>
        </w:rPr>
        <w:t xml:space="preserve">g Papers </w:t>
      </w:r>
      <w:r w:rsidR="00BC5C5C">
        <w:rPr>
          <w:b/>
          <w:sz w:val="22"/>
          <w:szCs w:val="22"/>
          <w:u w:val="single"/>
        </w:rPr>
        <w:t>and Current Projects</w:t>
      </w:r>
    </w:p>
    <w:p w:rsidR="00BC5C5C" w:rsidRDefault="00BC5C5C" w:rsidP="00BC5C5C">
      <w:pPr>
        <w:jc w:val="both"/>
        <w:rPr>
          <w:sz w:val="22"/>
          <w:szCs w:val="22"/>
        </w:rPr>
      </w:pPr>
    </w:p>
    <w:p w:rsidR="0028366E" w:rsidRDefault="0028366E" w:rsidP="00CE128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CB5CF4">
        <w:rPr>
          <w:sz w:val="22"/>
          <w:szCs w:val="22"/>
        </w:rPr>
        <w:t xml:space="preserve">Subjective Expectations of Social Security Benefit Cuts and the </w:t>
      </w:r>
      <w:r>
        <w:rPr>
          <w:sz w:val="22"/>
          <w:szCs w:val="22"/>
        </w:rPr>
        <w:t xml:space="preserve">Timing of Claiming Decisions” </w:t>
      </w:r>
    </w:p>
    <w:p w:rsidR="008F75E7" w:rsidRDefault="008F75E7" w:rsidP="00CE1283">
      <w:pPr>
        <w:ind w:left="360"/>
        <w:jc w:val="both"/>
        <w:rPr>
          <w:sz w:val="22"/>
          <w:szCs w:val="22"/>
        </w:rPr>
      </w:pPr>
    </w:p>
    <w:p w:rsidR="008F75E7" w:rsidRDefault="008F75E7" w:rsidP="00CE128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“Retirement and Pension Systems in Law Enforcement” (w/ Jim Brunet)</w:t>
      </w:r>
    </w:p>
    <w:p w:rsidR="00545678" w:rsidRDefault="00545678" w:rsidP="00CE1283">
      <w:pPr>
        <w:ind w:left="360"/>
        <w:jc w:val="both"/>
        <w:rPr>
          <w:sz w:val="22"/>
          <w:szCs w:val="22"/>
        </w:rPr>
      </w:pPr>
    </w:p>
    <w:p w:rsidR="00545678" w:rsidRDefault="00545678" w:rsidP="00CE128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“The Effect on Retirement on Mental Health: An Instrumental Variable Approach” (w/ </w:t>
      </w:r>
      <w:proofErr w:type="spellStart"/>
      <w:r>
        <w:rPr>
          <w:sz w:val="22"/>
          <w:szCs w:val="22"/>
        </w:rPr>
        <w:t>Sapna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Varkey</w:t>
      </w:r>
      <w:proofErr w:type="spellEnd"/>
      <w:r>
        <w:rPr>
          <w:sz w:val="22"/>
          <w:szCs w:val="22"/>
        </w:rPr>
        <w:t>)</w:t>
      </w:r>
    </w:p>
    <w:p w:rsidR="00CE1283" w:rsidRDefault="00CE1283" w:rsidP="00CE1283">
      <w:pPr>
        <w:pStyle w:val="ListParagraph"/>
        <w:ind w:left="360"/>
        <w:jc w:val="both"/>
        <w:rPr>
          <w:sz w:val="22"/>
          <w:szCs w:val="22"/>
        </w:rPr>
      </w:pPr>
    </w:p>
    <w:p w:rsidR="00CE1283" w:rsidRDefault="00CE1283" w:rsidP="00CE1283">
      <w:pPr>
        <w:ind w:left="288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B64F03">
        <w:rPr>
          <w:sz w:val="22"/>
          <w:szCs w:val="22"/>
        </w:rPr>
        <w:t xml:space="preserve">The Great Recession and </w:t>
      </w:r>
      <w:r>
        <w:rPr>
          <w:sz w:val="22"/>
          <w:szCs w:val="22"/>
        </w:rPr>
        <w:t xml:space="preserve">Job Engagement </w:t>
      </w:r>
      <w:r w:rsidR="00B64F03">
        <w:rPr>
          <w:sz w:val="22"/>
          <w:szCs w:val="22"/>
        </w:rPr>
        <w:t>among</w:t>
      </w:r>
      <w:r>
        <w:rPr>
          <w:sz w:val="22"/>
          <w:szCs w:val="22"/>
        </w:rPr>
        <w:t xml:space="preserve"> Federal Employees” (w/ Dennis Daley)</w:t>
      </w:r>
    </w:p>
    <w:p w:rsidR="00163B62" w:rsidRDefault="00163B62" w:rsidP="00CE1283">
      <w:pPr>
        <w:ind w:left="288"/>
        <w:jc w:val="both"/>
        <w:rPr>
          <w:sz w:val="22"/>
          <w:szCs w:val="22"/>
        </w:rPr>
      </w:pPr>
    </w:p>
    <w:p w:rsidR="00D15FE4" w:rsidRDefault="00D15FE4" w:rsidP="00CE1283">
      <w:pPr>
        <w:ind w:left="288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Pr="00311DCE">
        <w:rPr>
          <w:sz w:val="22"/>
          <w:szCs w:val="22"/>
        </w:rPr>
        <w:t>Can Delayed Annuities Solve The Annuity Puzzle? An Experimental Test.”</w:t>
      </w:r>
      <w:r>
        <w:rPr>
          <w:sz w:val="22"/>
          <w:szCs w:val="22"/>
        </w:rPr>
        <w:t xml:space="preserve"> (w/ John Scott)</w:t>
      </w:r>
    </w:p>
    <w:p w:rsidR="000A5ABD" w:rsidRDefault="000A5ABD" w:rsidP="00BC5C5C">
      <w:pPr>
        <w:jc w:val="both"/>
        <w:rPr>
          <w:sz w:val="22"/>
          <w:szCs w:val="22"/>
        </w:rPr>
      </w:pPr>
    </w:p>
    <w:p w:rsidR="00EB3B42" w:rsidRPr="00B4445E" w:rsidRDefault="00EB3B42" w:rsidP="00EB3B42">
      <w:pPr>
        <w:jc w:val="both"/>
        <w:rPr>
          <w:b/>
          <w:sz w:val="22"/>
          <w:szCs w:val="22"/>
          <w:u w:val="single"/>
        </w:rPr>
      </w:pPr>
      <w:r w:rsidRPr="00B4445E">
        <w:rPr>
          <w:b/>
          <w:sz w:val="22"/>
          <w:szCs w:val="22"/>
          <w:u w:val="single"/>
        </w:rPr>
        <w:t>Presentations</w:t>
      </w:r>
    </w:p>
    <w:p w:rsidR="00EB3B42" w:rsidRDefault="00EB3B42" w:rsidP="00EB3B42">
      <w:pPr>
        <w:ind w:left="360"/>
        <w:jc w:val="both"/>
        <w:rPr>
          <w:sz w:val="22"/>
          <w:szCs w:val="22"/>
        </w:rPr>
      </w:pPr>
    </w:p>
    <w:p w:rsidR="000E495C" w:rsidRDefault="000E495C" w:rsidP="000E495C">
      <w:pPr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 xml:space="preserve">Diebold, Jeffrey (Fall 2017) </w:t>
      </w:r>
      <w:r w:rsidRPr="00272F64">
        <w:rPr>
          <w:sz w:val="22"/>
        </w:rPr>
        <w:t>“</w:t>
      </w:r>
      <w:r>
        <w:rPr>
          <w:sz w:val="22"/>
          <w:szCs w:val="22"/>
        </w:rPr>
        <w:t>The Timing of Social Security Claiming Decisions and the Expectation of Less Generous Benefit Amounts</w:t>
      </w:r>
      <w:r>
        <w:rPr>
          <w:sz w:val="22"/>
        </w:rPr>
        <w:t>.</w:t>
      </w:r>
      <w:r w:rsidRPr="00272F64">
        <w:rPr>
          <w:sz w:val="22"/>
        </w:rPr>
        <w:t>”</w:t>
      </w:r>
      <w:r>
        <w:rPr>
          <w:sz w:val="22"/>
        </w:rPr>
        <w:t xml:space="preserve"> </w:t>
      </w:r>
      <w:r w:rsidRPr="00B4445E">
        <w:rPr>
          <w:sz w:val="22"/>
          <w:szCs w:val="22"/>
        </w:rPr>
        <w:t xml:space="preserve">Association for Public Policy Analysis and Management (APPAM), Fall Research Conference, </w:t>
      </w:r>
      <w:r>
        <w:rPr>
          <w:sz w:val="22"/>
          <w:szCs w:val="22"/>
        </w:rPr>
        <w:t>Chicago, IL</w:t>
      </w:r>
      <w:r>
        <w:rPr>
          <w:sz w:val="22"/>
        </w:rPr>
        <w:t>.</w:t>
      </w:r>
    </w:p>
    <w:p w:rsidR="00685C72" w:rsidRDefault="00685C72" w:rsidP="00685C72">
      <w:pPr>
        <w:ind w:left="720"/>
        <w:jc w:val="both"/>
        <w:rPr>
          <w:sz w:val="22"/>
        </w:rPr>
      </w:pPr>
    </w:p>
    <w:p w:rsidR="00685C72" w:rsidRPr="00685C72" w:rsidRDefault="00685C72" w:rsidP="00685C72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</w:rPr>
        <w:t xml:space="preserve">Diebold, Jeffrey and Jerrell </w:t>
      </w:r>
      <w:proofErr w:type="spellStart"/>
      <w:r>
        <w:rPr>
          <w:sz w:val="22"/>
        </w:rPr>
        <w:t>Coggburn</w:t>
      </w:r>
      <w:proofErr w:type="spellEnd"/>
      <w:r>
        <w:rPr>
          <w:sz w:val="22"/>
        </w:rPr>
        <w:t xml:space="preserve"> (Fall 2017) </w:t>
      </w:r>
      <w:r w:rsidRPr="00272F64">
        <w:rPr>
          <w:sz w:val="22"/>
        </w:rPr>
        <w:t>“</w:t>
      </w:r>
      <w:r w:rsidRPr="00685C72">
        <w:rPr>
          <w:sz w:val="22"/>
          <w:szCs w:val="22"/>
        </w:rPr>
        <w:t>The Determinants and Opportunity Costs of External Management Fees for State Administered</w:t>
      </w:r>
      <w:r>
        <w:rPr>
          <w:sz w:val="22"/>
          <w:szCs w:val="22"/>
        </w:rPr>
        <w:t xml:space="preserve"> </w:t>
      </w:r>
      <w:r w:rsidRPr="00685C72">
        <w:rPr>
          <w:sz w:val="22"/>
          <w:szCs w:val="22"/>
        </w:rPr>
        <w:t>Pension Plans</w:t>
      </w:r>
      <w:r w:rsidRPr="00685C72">
        <w:rPr>
          <w:sz w:val="22"/>
        </w:rPr>
        <w:t xml:space="preserve">.” </w:t>
      </w:r>
      <w:r w:rsidRPr="00685C72">
        <w:rPr>
          <w:sz w:val="22"/>
          <w:szCs w:val="22"/>
        </w:rPr>
        <w:t xml:space="preserve">Association for </w:t>
      </w:r>
      <w:r>
        <w:rPr>
          <w:sz w:val="22"/>
          <w:szCs w:val="22"/>
        </w:rPr>
        <w:t>Budgeting and Financial Management (ABFM)</w:t>
      </w:r>
      <w:r w:rsidRPr="00685C72">
        <w:rPr>
          <w:sz w:val="22"/>
          <w:szCs w:val="22"/>
        </w:rPr>
        <w:t xml:space="preserve">, </w:t>
      </w:r>
      <w:r>
        <w:rPr>
          <w:sz w:val="22"/>
          <w:szCs w:val="22"/>
        </w:rPr>
        <w:t>2017 Annual</w:t>
      </w:r>
      <w:r w:rsidRPr="00685C72">
        <w:rPr>
          <w:sz w:val="22"/>
          <w:szCs w:val="22"/>
        </w:rPr>
        <w:t xml:space="preserve"> Conference, </w:t>
      </w:r>
      <w:r>
        <w:rPr>
          <w:sz w:val="22"/>
          <w:szCs w:val="22"/>
        </w:rPr>
        <w:t>Washington, DC</w:t>
      </w:r>
      <w:r w:rsidRPr="00685C72">
        <w:rPr>
          <w:sz w:val="22"/>
        </w:rPr>
        <w:t>.</w:t>
      </w:r>
    </w:p>
    <w:p w:rsidR="000E495C" w:rsidRDefault="000E495C" w:rsidP="000E495C">
      <w:pPr>
        <w:ind w:left="720"/>
        <w:jc w:val="both"/>
        <w:rPr>
          <w:sz w:val="22"/>
        </w:rPr>
      </w:pPr>
    </w:p>
    <w:p w:rsidR="00DA56A9" w:rsidRDefault="00DA56A9" w:rsidP="00DA56A9">
      <w:pPr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Diebold, Jeffrey (2016). “</w:t>
      </w:r>
      <w:r w:rsidRPr="00DA56A9">
        <w:rPr>
          <w:sz w:val="22"/>
        </w:rPr>
        <w:t>An Experiment Linking Claim Ages and Survivor Benefits in the Social Security Statement</w:t>
      </w:r>
      <w:r>
        <w:rPr>
          <w:sz w:val="22"/>
        </w:rPr>
        <w:t>.” The Social Security Administration, Washington, D.C.</w:t>
      </w:r>
      <w:r w:rsidR="000E495C">
        <w:rPr>
          <w:sz w:val="22"/>
        </w:rPr>
        <w:t xml:space="preserve"> </w:t>
      </w:r>
    </w:p>
    <w:p w:rsidR="00DA56A9" w:rsidRDefault="00DA56A9" w:rsidP="00DA56A9">
      <w:pPr>
        <w:ind w:left="720"/>
        <w:jc w:val="both"/>
        <w:rPr>
          <w:sz w:val="22"/>
        </w:rPr>
      </w:pPr>
    </w:p>
    <w:p w:rsidR="006B3A01" w:rsidRDefault="006B3A01" w:rsidP="006B3A01">
      <w:pPr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 xml:space="preserve">Diebold, Jeffrey, </w:t>
      </w:r>
      <w:proofErr w:type="spellStart"/>
      <w:r>
        <w:rPr>
          <w:sz w:val="22"/>
        </w:rPr>
        <w:t>Reitano</w:t>
      </w:r>
      <w:proofErr w:type="spellEnd"/>
      <w:r>
        <w:rPr>
          <w:sz w:val="22"/>
        </w:rPr>
        <w:t xml:space="preserve">, Vincent, and Bruce McDonald (Fall 2015) </w:t>
      </w:r>
      <w:r w:rsidRPr="00272F64">
        <w:rPr>
          <w:sz w:val="22"/>
        </w:rPr>
        <w:t>“The Adoption and Diffusion of Reforms Aimed at Ignoring, Papering Over, or Addressing State Pension Liabilities</w:t>
      </w:r>
      <w:r>
        <w:rPr>
          <w:sz w:val="22"/>
        </w:rPr>
        <w:t>.</w:t>
      </w:r>
      <w:r w:rsidRPr="00272F64">
        <w:rPr>
          <w:sz w:val="22"/>
        </w:rPr>
        <w:t>”</w:t>
      </w:r>
      <w:r>
        <w:rPr>
          <w:sz w:val="22"/>
        </w:rPr>
        <w:t xml:space="preserve"> </w:t>
      </w:r>
      <w:r w:rsidRPr="00B4445E">
        <w:rPr>
          <w:sz w:val="22"/>
          <w:szCs w:val="22"/>
        </w:rPr>
        <w:t xml:space="preserve">Association for Public Policy Analysis and Management (APPAM), Fall Research Conference, </w:t>
      </w:r>
      <w:r>
        <w:rPr>
          <w:sz w:val="22"/>
        </w:rPr>
        <w:t>Miami</w:t>
      </w:r>
      <w:r w:rsidRPr="00B4445E">
        <w:rPr>
          <w:sz w:val="22"/>
          <w:szCs w:val="22"/>
        </w:rPr>
        <w:t xml:space="preserve">, </w:t>
      </w:r>
      <w:r>
        <w:rPr>
          <w:sz w:val="22"/>
        </w:rPr>
        <w:t>FL.</w:t>
      </w:r>
    </w:p>
    <w:p w:rsidR="006B3A01" w:rsidRDefault="006B3A01" w:rsidP="006B3A01">
      <w:pPr>
        <w:ind w:left="720"/>
        <w:rPr>
          <w:sz w:val="22"/>
        </w:rPr>
      </w:pPr>
    </w:p>
    <w:p w:rsidR="006B3A01" w:rsidRPr="00272F64" w:rsidRDefault="006B3A01" w:rsidP="006B3A01">
      <w:pPr>
        <w:pStyle w:val="ListParagraph"/>
        <w:numPr>
          <w:ilvl w:val="0"/>
          <w:numId w:val="23"/>
        </w:numPr>
        <w:contextualSpacing/>
        <w:jc w:val="both"/>
        <w:rPr>
          <w:sz w:val="22"/>
        </w:rPr>
      </w:pPr>
      <w:r>
        <w:rPr>
          <w:sz w:val="22"/>
        </w:rPr>
        <w:t xml:space="preserve">Diebold, Jeffrey, </w:t>
      </w:r>
      <w:proofErr w:type="spellStart"/>
      <w:r>
        <w:rPr>
          <w:sz w:val="22"/>
        </w:rPr>
        <w:t>Coggburn</w:t>
      </w:r>
      <w:proofErr w:type="spellEnd"/>
      <w:r>
        <w:rPr>
          <w:sz w:val="22"/>
        </w:rPr>
        <w:t xml:space="preserve">, Jerrell, and Ian </w:t>
      </w:r>
      <w:proofErr w:type="spellStart"/>
      <w:r>
        <w:rPr>
          <w:sz w:val="22"/>
        </w:rPr>
        <w:t>Bumgarner</w:t>
      </w:r>
      <w:proofErr w:type="spellEnd"/>
      <w:r>
        <w:rPr>
          <w:sz w:val="22"/>
        </w:rPr>
        <w:t xml:space="preserve"> (Fall 2015) </w:t>
      </w:r>
      <w:r w:rsidRPr="00272F64">
        <w:rPr>
          <w:sz w:val="22"/>
        </w:rPr>
        <w:t>“Paying for Performance? Management fees and asset performance of public pensi</w:t>
      </w:r>
      <w:r>
        <w:rPr>
          <w:sz w:val="22"/>
        </w:rPr>
        <w:t xml:space="preserve">on funds.” </w:t>
      </w:r>
      <w:r w:rsidRPr="00272F64">
        <w:rPr>
          <w:sz w:val="22"/>
        </w:rPr>
        <w:t>The Southeastern Conference for Public Administration</w:t>
      </w:r>
      <w:r>
        <w:rPr>
          <w:sz w:val="22"/>
        </w:rPr>
        <w:t>, Charleston, SC.</w:t>
      </w:r>
    </w:p>
    <w:p w:rsidR="006B3A01" w:rsidRDefault="006B3A01" w:rsidP="006B3A01">
      <w:pPr>
        <w:ind w:left="720"/>
        <w:jc w:val="both"/>
        <w:rPr>
          <w:sz w:val="22"/>
          <w:szCs w:val="22"/>
        </w:rPr>
      </w:pPr>
    </w:p>
    <w:p w:rsidR="004159BC" w:rsidRDefault="004159BC" w:rsidP="004159BC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Diebold, Jeffrey, and Susan Camilleri (Fall 2014).  “Framing Social Security Survivor Benefits.” </w:t>
      </w:r>
      <w:r w:rsidRPr="00B4445E">
        <w:rPr>
          <w:sz w:val="22"/>
          <w:szCs w:val="22"/>
        </w:rPr>
        <w:t xml:space="preserve">Association for Public Policy Analysis and Management (APPAM), Fall Research Conference, </w:t>
      </w:r>
      <w:r>
        <w:rPr>
          <w:sz w:val="22"/>
          <w:szCs w:val="22"/>
        </w:rPr>
        <w:t>Albuquerque</w:t>
      </w:r>
      <w:r w:rsidRPr="00B4445E">
        <w:rPr>
          <w:sz w:val="22"/>
          <w:szCs w:val="22"/>
        </w:rPr>
        <w:t xml:space="preserve">, </w:t>
      </w:r>
      <w:r>
        <w:rPr>
          <w:sz w:val="22"/>
          <w:szCs w:val="22"/>
        </w:rPr>
        <w:t>NM</w:t>
      </w:r>
      <w:r w:rsidRPr="00B4445E">
        <w:rPr>
          <w:sz w:val="22"/>
          <w:szCs w:val="22"/>
        </w:rPr>
        <w:t>.</w:t>
      </w:r>
    </w:p>
    <w:p w:rsidR="004159BC" w:rsidRDefault="004159BC" w:rsidP="004159BC">
      <w:pPr>
        <w:ind w:left="720"/>
        <w:jc w:val="both"/>
        <w:rPr>
          <w:sz w:val="22"/>
          <w:szCs w:val="22"/>
        </w:rPr>
      </w:pPr>
    </w:p>
    <w:p w:rsidR="004159BC" w:rsidRDefault="004159BC" w:rsidP="004159BC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Diebold, Jeffrey, Scott, John, and Jeremy Moulton (Fall 2014).  “Early Claiming of Higher-Earning Husbands, the Survivor Benefit, and the Poverty Status of their Widows.” </w:t>
      </w:r>
      <w:r w:rsidRPr="00B4445E">
        <w:rPr>
          <w:sz w:val="22"/>
          <w:szCs w:val="22"/>
        </w:rPr>
        <w:t xml:space="preserve">Association for Public Policy Analysis and Management (APPAM), Fall Research Conference, </w:t>
      </w:r>
      <w:r>
        <w:rPr>
          <w:sz w:val="22"/>
          <w:szCs w:val="22"/>
        </w:rPr>
        <w:t>Albuquerque</w:t>
      </w:r>
      <w:r w:rsidRPr="00B4445E">
        <w:rPr>
          <w:sz w:val="22"/>
          <w:szCs w:val="22"/>
        </w:rPr>
        <w:t xml:space="preserve">, </w:t>
      </w:r>
      <w:r>
        <w:rPr>
          <w:sz w:val="22"/>
          <w:szCs w:val="22"/>
        </w:rPr>
        <w:t>NM</w:t>
      </w:r>
      <w:r w:rsidRPr="00B4445E">
        <w:rPr>
          <w:sz w:val="22"/>
          <w:szCs w:val="22"/>
        </w:rPr>
        <w:t>.</w:t>
      </w:r>
    </w:p>
    <w:p w:rsidR="004159BC" w:rsidRDefault="004159BC" w:rsidP="004159BC">
      <w:pPr>
        <w:ind w:left="720"/>
        <w:jc w:val="both"/>
        <w:rPr>
          <w:sz w:val="22"/>
          <w:szCs w:val="22"/>
        </w:rPr>
      </w:pPr>
    </w:p>
    <w:p w:rsidR="00EB3B42" w:rsidRDefault="00EB3B42" w:rsidP="00EB3B42">
      <w:pPr>
        <w:numPr>
          <w:ilvl w:val="0"/>
          <w:numId w:val="23"/>
        </w:numPr>
        <w:jc w:val="both"/>
        <w:rPr>
          <w:sz w:val="22"/>
          <w:szCs w:val="22"/>
        </w:rPr>
      </w:pPr>
      <w:r w:rsidRPr="00B4445E">
        <w:rPr>
          <w:sz w:val="22"/>
          <w:szCs w:val="22"/>
        </w:rPr>
        <w:t xml:space="preserve">Diebold, Jeffrey and John Scott (Fall 2012). "Deductions or Credits? An Experimental Analysis of Tax Incentives for </w:t>
      </w:r>
      <w:proofErr w:type="spellStart"/>
      <w:r w:rsidRPr="00B4445E">
        <w:rPr>
          <w:sz w:val="22"/>
          <w:szCs w:val="22"/>
        </w:rPr>
        <w:t>Annuitization</w:t>
      </w:r>
      <w:proofErr w:type="spellEnd"/>
      <w:r w:rsidRPr="00B4445E">
        <w:rPr>
          <w:sz w:val="22"/>
          <w:szCs w:val="22"/>
        </w:rPr>
        <w:t xml:space="preserve"> at Older Ages." Association for Public Policy Analysis and Management (APPAM), Fall Research Conference, </w:t>
      </w:r>
      <w:smartTag w:uri="urn:schemas-microsoft-com:office:smarttags" w:element="City">
        <w:smartTag w:uri="urn:schemas-microsoft-com:office:smarttags" w:element="place">
          <w:r w:rsidRPr="00B4445E">
            <w:rPr>
              <w:sz w:val="22"/>
              <w:szCs w:val="22"/>
            </w:rPr>
            <w:t>Baltimore</w:t>
          </w:r>
        </w:smartTag>
        <w:r w:rsidRPr="00B4445E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4445E">
            <w:rPr>
              <w:sz w:val="22"/>
              <w:szCs w:val="22"/>
            </w:rPr>
            <w:t>MD.</w:t>
          </w:r>
        </w:smartTag>
      </w:smartTag>
    </w:p>
    <w:p w:rsidR="004159BC" w:rsidRDefault="004159BC" w:rsidP="004159BC">
      <w:pPr>
        <w:ind w:left="720"/>
        <w:jc w:val="both"/>
        <w:rPr>
          <w:sz w:val="22"/>
          <w:szCs w:val="22"/>
        </w:rPr>
      </w:pPr>
    </w:p>
    <w:p w:rsidR="00EB3B42" w:rsidRDefault="00EB3B42" w:rsidP="00EB3B4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Winship</w:t>
      </w:r>
      <w:proofErr w:type="spellEnd"/>
      <w:r>
        <w:rPr>
          <w:sz w:val="22"/>
          <w:szCs w:val="22"/>
        </w:rPr>
        <w:t xml:space="preserve">, Scott, </w:t>
      </w:r>
      <w:proofErr w:type="spellStart"/>
      <w:r>
        <w:rPr>
          <w:sz w:val="22"/>
          <w:szCs w:val="22"/>
        </w:rPr>
        <w:t>Karoly</w:t>
      </w:r>
      <w:proofErr w:type="spellEnd"/>
      <w:r>
        <w:rPr>
          <w:sz w:val="22"/>
          <w:szCs w:val="22"/>
        </w:rPr>
        <w:t xml:space="preserve">, Lynn, and Jeffrey Diebold (Fall 2012). “Using Microsimulation Models to Estimate Long-Term Benefits of Early Interventions.” </w:t>
      </w:r>
      <w:r w:rsidRPr="00B4445E">
        <w:rPr>
          <w:sz w:val="22"/>
          <w:szCs w:val="22"/>
        </w:rPr>
        <w:t xml:space="preserve">Association for Public Policy Analysis and Management (APPAM), Fall Research Conference, </w:t>
      </w:r>
      <w:smartTag w:uri="urn:schemas-microsoft-com:office:smarttags" w:element="place">
        <w:r w:rsidRPr="00B4445E">
          <w:rPr>
            <w:sz w:val="22"/>
            <w:szCs w:val="22"/>
          </w:rPr>
          <w:t>Baltimore</w:t>
        </w:r>
      </w:smartTag>
      <w:r w:rsidRPr="00B4445E">
        <w:rPr>
          <w:sz w:val="22"/>
          <w:szCs w:val="22"/>
        </w:rPr>
        <w:t>, MD.</w:t>
      </w:r>
    </w:p>
    <w:p w:rsidR="004159BC" w:rsidRDefault="004159BC" w:rsidP="004159BC">
      <w:pPr>
        <w:ind w:left="720"/>
        <w:jc w:val="both"/>
        <w:rPr>
          <w:sz w:val="22"/>
          <w:szCs w:val="22"/>
        </w:rPr>
      </w:pPr>
    </w:p>
    <w:p w:rsidR="00EB3B42" w:rsidRDefault="00EB3B42" w:rsidP="00EB3B4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spellStart"/>
      <w:r w:rsidRPr="00BF0096">
        <w:rPr>
          <w:sz w:val="22"/>
          <w:szCs w:val="22"/>
        </w:rPr>
        <w:t>Winship</w:t>
      </w:r>
      <w:proofErr w:type="spellEnd"/>
      <w:r w:rsidRPr="00BF0096">
        <w:rPr>
          <w:sz w:val="22"/>
          <w:szCs w:val="22"/>
        </w:rPr>
        <w:t xml:space="preserve">, Scott and Jeffrey Diebold (Fall 2012) “Modeling Opportunity and Simulating Policy Effects on Mobility: The Brookings Social Genome Model.” </w:t>
      </w:r>
      <w:r w:rsidRPr="00B4445E">
        <w:rPr>
          <w:sz w:val="22"/>
          <w:szCs w:val="22"/>
        </w:rPr>
        <w:t>Association for Public Policy Analysis and Management (APPAM), Fall Research Conference, Baltimore, MD.</w:t>
      </w:r>
    </w:p>
    <w:p w:rsidR="004159BC" w:rsidRDefault="004159BC" w:rsidP="004159BC">
      <w:pPr>
        <w:ind w:left="720"/>
        <w:jc w:val="both"/>
        <w:rPr>
          <w:sz w:val="22"/>
          <w:szCs w:val="22"/>
        </w:rPr>
      </w:pPr>
    </w:p>
    <w:p w:rsidR="00EB3B42" w:rsidRPr="00B4445E" w:rsidRDefault="00EB3B42" w:rsidP="00EB3B42">
      <w:pPr>
        <w:numPr>
          <w:ilvl w:val="0"/>
          <w:numId w:val="23"/>
        </w:numPr>
        <w:jc w:val="both"/>
        <w:rPr>
          <w:sz w:val="22"/>
          <w:szCs w:val="22"/>
        </w:rPr>
      </w:pPr>
      <w:proofErr w:type="spellStart"/>
      <w:r w:rsidRPr="00B4445E">
        <w:rPr>
          <w:sz w:val="22"/>
          <w:szCs w:val="22"/>
        </w:rPr>
        <w:t>Lindblad</w:t>
      </w:r>
      <w:proofErr w:type="spellEnd"/>
      <w:r w:rsidRPr="00B4445E">
        <w:rPr>
          <w:sz w:val="22"/>
          <w:szCs w:val="22"/>
        </w:rPr>
        <w:t xml:space="preserve">, Mark, </w:t>
      </w:r>
      <w:proofErr w:type="spellStart"/>
      <w:r w:rsidRPr="00B4445E">
        <w:rPr>
          <w:sz w:val="22"/>
          <w:szCs w:val="22"/>
        </w:rPr>
        <w:t>Manturuk</w:t>
      </w:r>
      <w:proofErr w:type="spellEnd"/>
      <w:r w:rsidRPr="00B4445E">
        <w:rPr>
          <w:sz w:val="22"/>
          <w:szCs w:val="22"/>
        </w:rPr>
        <w:t xml:space="preserve">, Kim, Riley, Sarah, Diebold, Jeffrey and Roberto </w:t>
      </w:r>
      <w:proofErr w:type="spellStart"/>
      <w:r w:rsidRPr="00B4445E">
        <w:rPr>
          <w:sz w:val="22"/>
          <w:szCs w:val="22"/>
        </w:rPr>
        <w:t>Quercia</w:t>
      </w:r>
      <w:proofErr w:type="spellEnd"/>
      <w:r w:rsidRPr="00B4445E">
        <w:rPr>
          <w:sz w:val="22"/>
          <w:szCs w:val="22"/>
        </w:rPr>
        <w:t xml:space="preserve"> (</w:t>
      </w:r>
      <w:r w:rsidR="00F729E4">
        <w:rPr>
          <w:sz w:val="22"/>
          <w:szCs w:val="22"/>
        </w:rPr>
        <w:t xml:space="preserve">Spring </w:t>
      </w:r>
      <w:r w:rsidRPr="00B4445E">
        <w:rPr>
          <w:sz w:val="22"/>
          <w:szCs w:val="22"/>
        </w:rPr>
        <w:t xml:space="preserve">2009). Homeownership, Racial Diversity, and Neighboring. Presented at the 39th Conference of the Urban Affairs Association, </w:t>
      </w:r>
      <w:smartTag w:uri="urn:schemas-microsoft-com:office:smarttags" w:element="PlaceNam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B4445E">
                <w:rPr>
                  <w:sz w:val="22"/>
                  <w:szCs w:val="22"/>
                </w:rPr>
                <w:t>Chicago</w:t>
              </w:r>
            </w:smartTag>
          </w:smartTag>
          <w:r w:rsidRPr="00B4445E">
            <w:rPr>
              <w:sz w:val="22"/>
              <w:szCs w:val="22"/>
            </w:rPr>
            <w:t xml:space="preserve">, </w:t>
          </w:r>
          <w:smartTag w:uri="urn:schemas-microsoft-com:office:smarttags" w:element="PlaceName">
            <w:smartTag w:uri="urn:schemas-microsoft-com:office:smarttags" w:element="State">
              <w:r w:rsidRPr="00B4445E">
                <w:rPr>
                  <w:sz w:val="22"/>
                  <w:szCs w:val="22"/>
                </w:rPr>
                <w:t>IL</w:t>
              </w:r>
            </w:smartTag>
          </w:smartTag>
        </w:smartTag>
      </w:smartTag>
      <w:r w:rsidRPr="00B4445E">
        <w:rPr>
          <w:sz w:val="22"/>
          <w:szCs w:val="22"/>
        </w:rPr>
        <w:t>.</w:t>
      </w:r>
    </w:p>
    <w:p w:rsidR="00CB01B5" w:rsidRPr="00B4445E" w:rsidRDefault="00CB01B5" w:rsidP="005B46C0">
      <w:pPr>
        <w:rPr>
          <w:b/>
          <w:sz w:val="22"/>
          <w:szCs w:val="22"/>
        </w:rPr>
      </w:pPr>
    </w:p>
    <w:p w:rsidR="004112DB" w:rsidRPr="00B4445E" w:rsidRDefault="004112DB" w:rsidP="004112DB">
      <w:pPr>
        <w:ind w:left="342" w:hanging="342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Policy Reports</w:t>
      </w:r>
    </w:p>
    <w:p w:rsidR="004112DB" w:rsidRDefault="004112DB" w:rsidP="004112DB">
      <w:pPr>
        <w:rPr>
          <w:sz w:val="22"/>
          <w:szCs w:val="22"/>
        </w:rPr>
      </w:pPr>
    </w:p>
    <w:p w:rsidR="00C2395B" w:rsidRDefault="00C2395B" w:rsidP="004112DB">
      <w:pPr>
        <w:rPr>
          <w:sz w:val="22"/>
          <w:szCs w:val="22"/>
        </w:rPr>
      </w:pPr>
      <w:r>
        <w:rPr>
          <w:sz w:val="22"/>
          <w:szCs w:val="22"/>
        </w:rPr>
        <w:t xml:space="preserve">Diebold, Jeffrey and Bruce McDonald (Forthcoming). </w:t>
      </w:r>
      <w:r w:rsidRPr="00C2395B">
        <w:rPr>
          <w:sz w:val="22"/>
          <w:szCs w:val="22"/>
        </w:rPr>
        <w:t>Economic Impact Study of McGregor Hall</w:t>
      </w:r>
      <w:r>
        <w:rPr>
          <w:sz w:val="22"/>
          <w:szCs w:val="22"/>
        </w:rPr>
        <w:t xml:space="preserve"> in Henderson, NC.</w:t>
      </w:r>
      <w:r w:rsidRPr="00C2395B">
        <w:rPr>
          <w:sz w:val="22"/>
          <w:szCs w:val="22"/>
        </w:rPr>
        <w:t xml:space="preserve"> Funded by the Embassy Cul</w:t>
      </w:r>
      <w:r>
        <w:rPr>
          <w:sz w:val="22"/>
          <w:szCs w:val="22"/>
        </w:rPr>
        <w:t>tural Center Foundation.</w:t>
      </w:r>
    </w:p>
    <w:p w:rsidR="00C2395B" w:rsidRDefault="00C2395B" w:rsidP="004112DB">
      <w:pPr>
        <w:rPr>
          <w:sz w:val="22"/>
          <w:szCs w:val="22"/>
        </w:rPr>
      </w:pPr>
    </w:p>
    <w:p w:rsidR="004112DB" w:rsidRDefault="004112DB" w:rsidP="004112DB">
      <w:pPr>
        <w:rPr>
          <w:sz w:val="22"/>
          <w:szCs w:val="22"/>
        </w:rPr>
      </w:pPr>
      <w:r w:rsidRPr="00B4445E">
        <w:rPr>
          <w:sz w:val="22"/>
          <w:szCs w:val="22"/>
        </w:rPr>
        <w:t xml:space="preserve">Diebold, Jeffrey, </w:t>
      </w:r>
      <w:proofErr w:type="spellStart"/>
      <w:r w:rsidRPr="00B4445E">
        <w:rPr>
          <w:sz w:val="22"/>
          <w:szCs w:val="22"/>
        </w:rPr>
        <w:t>Gitterman</w:t>
      </w:r>
      <w:proofErr w:type="spellEnd"/>
      <w:r w:rsidRPr="00B4445E">
        <w:rPr>
          <w:sz w:val="22"/>
          <w:szCs w:val="22"/>
        </w:rPr>
        <w:t xml:space="preserve">, Daniel and Gene Nichol (2010). “Wealth Disparity in North Carolina.” Center on Poverty, Work and Opportunity. </w:t>
      </w:r>
    </w:p>
    <w:p w:rsidR="00795D01" w:rsidRDefault="00795D01" w:rsidP="00795D01">
      <w:pPr>
        <w:rPr>
          <w:sz w:val="22"/>
          <w:szCs w:val="22"/>
        </w:rPr>
      </w:pPr>
    </w:p>
    <w:p w:rsidR="00795D01" w:rsidRPr="00B4445E" w:rsidRDefault="00795D01" w:rsidP="00795D01">
      <w:pPr>
        <w:rPr>
          <w:sz w:val="22"/>
          <w:szCs w:val="22"/>
        </w:rPr>
      </w:pPr>
      <w:r w:rsidRPr="00B4445E">
        <w:rPr>
          <w:sz w:val="22"/>
          <w:szCs w:val="22"/>
        </w:rPr>
        <w:t xml:space="preserve">Diebold, Jeffrey, </w:t>
      </w:r>
      <w:proofErr w:type="spellStart"/>
      <w:r w:rsidRPr="00B4445E">
        <w:rPr>
          <w:sz w:val="22"/>
          <w:szCs w:val="22"/>
        </w:rPr>
        <w:t>Dorrance</w:t>
      </w:r>
      <w:proofErr w:type="spellEnd"/>
      <w:r w:rsidRPr="00B4445E">
        <w:rPr>
          <w:sz w:val="22"/>
          <w:szCs w:val="22"/>
        </w:rPr>
        <w:t xml:space="preserve">, Jessica and Daniel </w:t>
      </w:r>
      <w:proofErr w:type="spellStart"/>
      <w:r w:rsidRPr="00B4445E">
        <w:rPr>
          <w:sz w:val="22"/>
          <w:szCs w:val="22"/>
        </w:rPr>
        <w:t>Gitterman</w:t>
      </w:r>
      <w:proofErr w:type="spellEnd"/>
      <w:r w:rsidRPr="00B4445E">
        <w:rPr>
          <w:sz w:val="22"/>
          <w:szCs w:val="22"/>
        </w:rPr>
        <w:t xml:space="preserve"> (2009). “Struggling North Carolinians Missing Out On Much-Needed Federal Assistance.” </w:t>
      </w:r>
      <w:r w:rsidRPr="00B4445E">
        <w:rPr>
          <w:i/>
          <w:sz w:val="22"/>
          <w:szCs w:val="22"/>
        </w:rPr>
        <w:t>Carolina Context</w:t>
      </w:r>
      <w:r w:rsidRPr="00B4445E">
        <w:rPr>
          <w:sz w:val="22"/>
          <w:szCs w:val="22"/>
        </w:rPr>
        <w:t xml:space="preserve">, May 2009, Number 8. </w:t>
      </w:r>
    </w:p>
    <w:p w:rsidR="00023244" w:rsidRDefault="00023244" w:rsidP="006B49C2">
      <w:pPr>
        <w:rPr>
          <w:b/>
          <w:sz w:val="22"/>
          <w:szCs w:val="22"/>
          <w:u w:val="single"/>
        </w:rPr>
      </w:pPr>
    </w:p>
    <w:p w:rsidR="00CB01B5" w:rsidRDefault="00DD787B" w:rsidP="006B49C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Research Funding</w:t>
      </w:r>
    </w:p>
    <w:p w:rsidR="0092450F" w:rsidRPr="00B4445E" w:rsidRDefault="0092450F" w:rsidP="006B49C2">
      <w:pPr>
        <w:rPr>
          <w:b/>
          <w:sz w:val="22"/>
          <w:szCs w:val="22"/>
          <w:u w:val="single"/>
        </w:rPr>
      </w:pPr>
    </w:p>
    <w:p w:rsidR="00D03A2D" w:rsidRDefault="00D03A2D" w:rsidP="00C2395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2015</w:t>
      </w:r>
      <w:r>
        <w:rPr>
          <w:sz w:val="22"/>
          <w:szCs w:val="22"/>
        </w:rPr>
        <w:tab/>
      </w:r>
      <w:r w:rsidR="00C2395B">
        <w:rPr>
          <w:sz w:val="22"/>
          <w:szCs w:val="22"/>
        </w:rPr>
        <w:t xml:space="preserve">P.I., </w:t>
      </w:r>
      <w:proofErr w:type="spellStart"/>
      <w:r>
        <w:rPr>
          <w:sz w:val="22"/>
          <w:szCs w:val="22"/>
        </w:rPr>
        <w:t>Sandell</w:t>
      </w:r>
      <w:proofErr w:type="spellEnd"/>
      <w:r>
        <w:rPr>
          <w:sz w:val="22"/>
          <w:szCs w:val="22"/>
        </w:rPr>
        <w:t xml:space="preserve"> Grant Program through the Center for Retirement Research at Boston College</w:t>
      </w:r>
      <w:r w:rsidR="00FF6DEE">
        <w:rPr>
          <w:sz w:val="22"/>
          <w:szCs w:val="22"/>
        </w:rPr>
        <w:t>, $</w:t>
      </w:r>
      <w:r w:rsidR="00FE1314">
        <w:rPr>
          <w:sz w:val="22"/>
          <w:szCs w:val="22"/>
        </w:rPr>
        <w:t>69,000</w:t>
      </w:r>
    </w:p>
    <w:p w:rsidR="00D03A2D" w:rsidRPr="00D03A2D" w:rsidRDefault="00D03A2D" w:rsidP="006B49C2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D03A2D">
        <w:rPr>
          <w:i/>
          <w:sz w:val="22"/>
          <w:szCs w:val="22"/>
        </w:rPr>
        <w:t>An Experiment Linking Claim Ages and Survivor Benefits in the Social Security Statement</w:t>
      </w:r>
    </w:p>
    <w:p w:rsidR="00300ED2" w:rsidRDefault="00300ED2" w:rsidP="006B49C2">
      <w:pPr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D638D1">
        <w:rPr>
          <w:sz w:val="22"/>
          <w:szCs w:val="22"/>
        </w:rPr>
        <w:t xml:space="preserve">NCSU </w:t>
      </w:r>
      <w:r>
        <w:rPr>
          <w:sz w:val="22"/>
          <w:szCs w:val="22"/>
        </w:rPr>
        <w:t>Scholarship and Research Award, $4,000</w:t>
      </w:r>
    </w:p>
    <w:p w:rsidR="00CB01B5" w:rsidRPr="00B4445E" w:rsidRDefault="00CB01B5" w:rsidP="006B49C2">
      <w:pPr>
        <w:rPr>
          <w:sz w:val="22"/>
          <w:szCs w:val="22"/>
        </w:rPr>
      </w:pPr>
      <w:r w:rsidRPr="00B4445E">
        <w:rPr>
          <w:sz w:val="22"/>
          <w:szCs w:val="22"/>
        </w:rPr>
        <w:t xml:space="preserve">2010 </w:t>
      </w:r>
      <w:r w:rsidRPr="00B4445E">
        <w:rPr>
          <w:sz w:val="22"/>
          <w:szCs w:val="22"/>
        </w:rPr>
        <w:tab/>
        <w:t>UNC-CH University Research Council, $5,000</w:t>
      </w:r>
    </w:p>
    <w:p w:rsidR="00CB01B5" w:rsidRPr="00B4445E" w:rsidRDefault="00CB01B5" w:rsidP="006B49C2">
      <w:pPr>
        <w:rPr>
          <w:i/>
          <w:sz w:val="22"/>
          <w:szCs w:val="22"/>
        </w:rPr>
      </w:pPr>
      <w:r w:rsidRPr="00B4445E">
        <w:rPr>
          <w:i/>
          <w:sz w:val="22"/>
          <w:szCs w:val="22"/>
        </w:rPr>
        <w:tab/>
        <w:t xml:space="preserve">Annuities and Old-Age Income Security: An Experimentally-Based Pilot Study, </w:t>
      </w:r>
    </w:p>
    <w:p w:rsidR="00CB01B5" w:rsidRPr="00B4445E" w:rsidRDefault="00CB01B5" w:rsidP="006B49C2">
      <w:pPr>
        <w:rPr>
          <w:sz w:val="22"/>
          <w:szCs w:val="22"/>
        </w:rPr>
      </w:pPr>
      <w:r w:rsidRPr="00B4445E">
        <w:rPr>
          <w:sz w:val="22"/>
          <w:szCs w:val="22"/>
        </w:rPr>
        <w:t xml:space="preserve">2010 </w:t>
      </w:r>
      <w:r w:rsidRPr="00B4445E">
        <w:rPr>
          <w:sz w:val="22"/>
          <w:szCs w:val="22"/>
        </w:rPr>
        <w:tab/>
        <w:t xml:space="preserve">Z Smith Reynolds, $4,000 </w:t>
      </w:r>
    </w:p>
    <w:p w:rsidR="00CB01B5" w:rsidRPr="00B4445E" w:rsidRDefault="00CB01B5" w:rsidP="006B49C2">
      <w:pPr>
        <w:rPr>
          <w:i/>
          <w:sz w:val="22"/>
          <w:szCs w:val="22"/>
        </w:rPr>
      </w:pPr>
      <w:r w:rsidRPr="00B4445E">
        <w:rPr>
          <w:i/>
          <w:sz w:val="22"/>
          <w:szCs w:val="22"/>
        </w:rPr>
        <w:tab/>
        <w:t xml:space="preserve">Wealth Disparity in </w:t>
      </w:r>
      <w:smartTag w:uri="urn:schemas-microsoft-com:office:smarttags" w:element="PlaceName">
        <w:r w:rsidRPr="00B4445E">
          <w:rPr>
            <w:i/>
            <w:sz w:val="22"/>
            <w:szCs w:val="22"/>
          </w:rPr>
          <w:t>North Carolina</w:t>
        </w:r>
      </w:smartTag>
    </w:p>
    <w:p w:rsidR="00CB01B5" w:rsidRPr="00B4445E" w:rsidRDefault="00CB01B5" w:rsidP="006B49C2">
      <w:pPr>
        <w:rPr>
          <w:sz w:val="22"/>
          <w:szCs w:val="22"/>
        </w:rPr>
      </w:pPr>
      <w:r w:rsidRPr="00B4445E">
        <w:rPr>
          <w:sz w:val="22"/>
          <w:szCs w:val="22"/>
        </w:rPr>
        <w:t xml:space="preserve">2008 </w:t>
      </w:r>
      <w:r w:rsidRPr="00B4445E">
        <w:rPr>
          <w:sz w:val="22"/>
          <w:szCs w:val="22"/>
        </w:rPr>
        <w:tab/>
        <w:t>Z Smith Reynolds $4,000</w:t>
      </w:r>
    </w:p>
    <w:p w:rsidR="00CB01B5" w:rsidRPr="00B4445E" w:rsidRDefault="00CB01B5" w:rsidP="006B49C2">
      <w:pPr>
        <w:rPr>
          <w:i/>
          <w:sz w:val="22"/>
          <w:szCs w:val="22"/>
        </w:rPr>
      </w:pPr>
      <w:r w:rsidRPr="00B4445E">
        <w:rPr>
          <w:i/>
          <w:sz w:val="22"/>
          <w:szCs w:val="22"/>
        </w:rPr>
        <w:tab/>
        <w:t xml:space="preserve">Feasibility Study for the Benefit Bank in </w:t>
      </w:r>
      <w:smartTag w:uri="urn:schemas-microsoft-com:office:smarttags" w:element="PlaceName">
        <w:r w:rsidRPr="00B4445E">
          <w:rPr>
            <w:i/>
            <w:sz w:val="22"/>
            <w:szCs w:val="22"/>
          </w:rPr>
          <w:t>North Carolina</w:t>
        </w:r>
      </w:smartTag>
    </w:p>
    <w:p w:rsidR="00CB01B5" w:rsidRPr="00B4445E" w:rsidRDefault="00CB01B5" w:rsidP="005B46C0">
      <w:pPr>
        <w:rPr>
          <w:b/>
          <w:sz w:val="22"/>
          <w:szCs w:val="22"/>
        </w:rPr>
      </w:pPr>
    </w:p>
    <w:p w:rsidR="00097473" w:rsidRDefault="00097473" w:rsidP="005B46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Awards </w:t>
      </w:r>
    </w:p>
    <w:p w:rsidR="00097473" w:rsidRDefault="00097473" w:rsidP="0009747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2019</w:t>
      </w:r>
      <w:r>
        <w:rPr>
          <w:sz w:val="22"/>
          <w:szCs w:val="22"/>
        </w:rPr>
        <w:tab/>
      </w:r>
      <w:r w:rsidRPr="00097473">
        <w:rPr>
          <w:sz w:val="22"/>
          <w:szCs w:val="22"/>
        </w:rPr>
        <w:t xml:space="preserve">Jesse </w:t>
      </w:r>
      <w:proofErr w:type="spellStart"/>
      <w:r w:rsidRPr="00097473">
        <w:rPr>
          <w:sz w:val="22"/>
          <w:szCs w:val="22"/>
        </w:rPr>
        <w:t>Burkhead</w:t>
      </w:r>
      <w:proofErr w:type="spellEnd"/>
      <w:r w:rsidRPr="00097473">
        <w:rPr>
          <w:sz w:val="22"/>
          <w:szCs w:val="22"/>
        </w:rPr>
        <w:t xml:space="preserve"> Award for the best article published in </w:t>
      </w:r>
      <w:r w:rsidRPr="00097473">
        <w:rPr>
          <w:i/>
          <w:sz w:val="22"/>
          <w:szCs w:val="22"/>
        </w:rPr>
        <w:t>Public Budgeting and Finance</w:t>
      </w:r>
      <w:r w:rsidRPr="00097473">
        <w:rPr>
          <w:sz w:val="22"/>
          <w:szCs w:val="22"/>
        </w:rPr>
        <w:t xml:space="preserve"> in 2019</w:t>
      </w:r>
      <w:r w:rsidRPr="000974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>
        <w:rPr>
          <w:sz w:val="22"/>
          <w:szCs w:val="22"/>
        </w:rPr>
        <w:t>“</w:t>
      </w:r>
      <w:r w:rsidRPr="00863BBD">
        <w:rPr>
          <w:sz w:val="22"/>
          <w:szCs w:val="22"/>
        </w:rPr>
        <w:t>The Determinants and Opportunity Costs of External Management Fees for State-Administered Pension Plans</w:t>
      </w:r>
      <w:r>
        <w:rPr>
          <w:sz w:val="22"/>
          <w:szCs w:val="22"/>
        </w:rPr>
        <w:t>”</w:t>
      </w:r>
      <w:bookmarkStart w:id="0" w:name="_GoBack"/>
      <w:bookmarkEnd w:id="0"/>
    </w:p>
    <w:p w:rsidR="00097473" w:rsidRPr="00097473" w:rsidRDefault="00097473" w:rsidP="005B46C0">
      <w:pPr>
        <w:rPr>
          <w:sz w:val="22"/>
          <w:szCs w:val="22"/>
          <w:u w:val="single"/>
        </w:rPr>
      </w:pPr>
    </w:p>
    <w:p w:rsidR="00CB01B5" w:rsidRDefault="003A7ADC" w:rsidP="005B46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Teaching </w:t>
      </w:r>
    </w:p>
    <w:p w:rsidR="0092450F" w:rsidRDefault="0092450F" w:rsidP="005B46C0">
      <w:pPr>
        <w:rPr>
          <w:b/>
          <w:sz w:val="22"/>
          <w:szCs w:val="22"/>
          <w:u w:val="single"/>
        </w:rPr>
      </w:pPr>
    </w:p>
    <w:p w:rsidR="003A7ADC" w:rsidRPr="003A7ADC" w:rsidRDefault="003A7ADC" w:rsidP="005B46C0">
      <w:pPr>
        <w:rPr>
          <w:i/>
          <w:sz w:val="22"/>
          <w:szCs w:val="22"/>
        </w:rPr>
      </w:pPr>
      <w:r w:rsidRPr="003A7ADC">
        <w:rPr>
          <w:i/>
          <w:sz w:val="22"/>
          <w:szCs w:val="22"/>
        </w:rPr>
        <w:t>North Carolina State University</w:t>
      </w:r>
    </w:p>
    <w:p w:rsidR="009F43D4" w:rsidRDefault="009F43D4" w:rsidP="009F43D4">
      <w:pPr>
        <w:rPr>
          <w:sz w:val="22"/>
          <w:szCs w:val="22"/>
        </w:rPr>
      </w:pPr>
      <w:r>
        <w:rPr>
          <w:sz w:val="22"/>
          <w:szCs w:val="22"/>
        </w:rPr>
        <w:tab/>
        <w:t>Analysis of Categorical Dependent Variables (PA 798)</w:t>
      </w:r>
    </w:p>
    <w:p w:rsidR="009F43D4" w:rsidRDefault="003A7ADC" w:rsidP="009F43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9F43D4">
        <w:rPr>
          <w:sz w:val="22"/>
          <w:szCs w:val="22"/>
        </w:rPr>
        <w:t>Quantitative Policy Analysis (PA 715)</w:t>
      </w:r>
    </w:p>
    <w:p w:rsidR="009F43D4" w:rsidRDefault="009F43D4" w:rsidP="009F43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A052C">
        <w:rPr>
          <w:sz w:val="22"/>
          <w:szCs w:val="22"/>
        </w:rPr>
        <w:t>Retirement Policy (PA 498)</w:t>
      </w:r>
    </w:p>
    <w:p w:rsidR="003A7ADC" w:rsidRDefault="003A7ADC" w:rsidP="009F43D4">
      <w:pPr>
        <w:ind w:firstLine="720"/>
        <w:rPr>
          <w:sz w:val="22"/>
          <w:szCs w:val="22"/>
        </w:rPr>
      </w:pPr>
      <w:r>
        <w:rPr>
          <w:sz w:val="22"/>
          <w:szCs w:val="22"/>
        </w:rPr>
        <w:t>Policy Analysis (PA 511)</w:t>
      </w:r>
    </w:p>
    <w:p w:rsidR="003A7ADC" w:rsidRDefault="003A7ADC" w:rsidP="002E1C20">
      <w:pPr>
        <w:ind w:firstLine="720"/>
        <w:rPr>
          <w:sz w:val="22"/>
          <w:szCs w:val="22"/>
        </w:rPr>
      </w:pPr>
      <w:r>
        <w:rPr>
          <w:sz w:val="22"/>
          <w:szCs w:val="22"/>
        </w:rPr>
        <w:t>Research Methods and Analysis (PA 515)</w:t>
      </w:r>
    </w:p>
    <w:p w:rsidR="00C94324" w:rsidRDefault="00C94324" w:rsidP="002E1C2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Math “Boot Camp” for incoming PhD students </w:t>
      </w:r>
    </w:p>
    <w:p w:rsidR="009F43D4" w:rsidRDefault="009F43D4" w:rsidP="002E1C20">
      <w:pPr>
        <w:ind w:firstLine="720"/>
        <w:rPr>
          <w:sz w:val="22"/>
          <w:szCs w:val="22"/>
        </w:rPr>
      </w:pPr>
    </w:p>
    <w:p w:rsidR="003A7ADC" w:rsidRPr="003A7ADC" w:rsidRDefault="003A7ADC" w:rsidP="005B46C0">
      <w:pPr>
        <w:rPr>
          <w:i/>
          <w:sz w:val="22"/>
          <w:szCs w:val="22"/>
        </w:rPr>
      </w:pPr>
      <w:r w:rsidRPr="003A7ADC">
        <w:rPr>
          <w:i/>
          <w:sz w:val="22"/>
          <w:szCs w:val="22"/>
        </w:rPr>
        <w:t>University of North Carolina at Chapel Hill</w:t>
      </w:r>
    </w:p>
    <w:p w:rsidR="003A7ADC" w:rsidRDefault="003A7ADC" w:rsidP="005B46C0">
      <w:pPr>
        <w:rPr>
          <w:sz w:val="22"/>
          <w:szCs w:val="22"/>
        </w:rPr>
      </w:pPr>
      <w:r>
        <w:rPr>
          <w:sz w:val="22"/>
          <w:szCs w:val="22"/>
        </w:rPr>
        <w:tab/>
        <w:t>Quantitative Analysis in Public Policy (PLCY 460)</w:t>
      </w:r>
      <w:r w:rsidR="002E1C20">
        <w:rPr>
          <w:sz w:val="22"/>
          <w:szCs w:val="22"/>
        </w:rPr>
        <w:t xml:space="preserve"> – Teaching Assistant</w:t>
      </w:r>
    </w:p>
    <w:p w:rsidR="003A7ADC" w:rsidRDefault="003A7ADC" w:rsidP="005B46C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Making </w:t>
      </w:r>
      <w:r w:rsidR="002E1C20">
        <w:rPr>
          <w:sz w:val="22"/>
          <w:szCs w:val="22"/>
        </w:rPr>
        <w:t>Public Policy (PLCY 101) – Teaching Assistant</w:t>
      </w:r>
    </w:p>
    <w:p w:rsidR="00AD2CF4" w:rsidRDefault="00AD2CF4" w:rsidP="005B46C0">
      <w:pPr>
        <w:rPr>
          <w:sz w:val="22"/>
          <w:szCs w:val="22"/>
        </w:rPr>
      </w:pPr>
    </w:p>
    <w:p w:rsidR="00AD2CF4" w:rsidRPr="00AD2CF4" w:rsidRDefault="00AD2CF4" w:rsidP="005B46C0">
      <w:pPr>
        <w:rPr>
          <w:b/>
          <w:sz w:val="22"/>
          <w:szCs w:val="22"/>
          <w:u w:val="single"/>
        </w:rPr>
      </w:pPr>
      <w:r w:rsidRPr="00AD2CF4">
        <w:rPr>
          <w:b/>
          <w:sz w:val="22"/>
          <w:szCs w:val="22"/>
          <w:u w:val="single"/>
        </w:rPr>
        <w:t>Doctoral Dissertation Committee Service</w:t>
      </w:r>
    </w:p>
    <w:p w:rsidR="00AD2CF4" w:rsidRDefault="00AD2CF4" w:rsidP="005B46C0">
      <w:pPr>
        <w:rPr>
          <w:i/>
          <w:sz w:val="22"/>
          <w:szCs w:val="22"/>
          <w:u w:val="single"/>
        </w:rPr>
      </w:pPr>
      <w:r w:rsidRPr="00AD2CF4">
        <w:rPr>
          <w:i/>
          <w:sz w:val="22"/>
          <w:szCs w:val="22"/>
          <w:u w:val="single"/>
        </w:rPr>
        <w:t xml:space="preserve">Chair </w:t>
      </w:r>
    </w:p>
    <w:p w:rsidR="00AD2CF4" w:rsidRDefault="00AD2CF4" w:rsidP="005B46C0">
      <w:pPr>
        <w:rPr>
          <w:sz w:val="22"/>
          <w:szCs w:val="22"/>
        </w:rPr>
      </w:pPr>
    </w:p>
    <w:p w:rsidR="00AD2CF4" w:rsidRDefault="00AD2CF4" w:rsidP="005B46C0">
      <w:pPr>
        <w:rPr>
          <w:sz w:val="22"/>
          <w:szCs w:val="22"/>
        </w:rPr>
      </w:pPr>
      <w:r>
        <w:rPr>
          <w:sz w:val="22"/>
          <w:szCs w:val="22"/>
        </w:rPr>
        <w:t xml:space="preserve">Susan </w:t>
      </w:r>
      <w:proofErr w:type="spellStart"/>
      <w:r>
        <w:rPr>
          <w:sz w:val="22"/>
          <w:szCs w:val="22"/>
        </w:rPr>
        <w:t>Camilleri</w:t>
      </w:r>
      <w:proofErr w:type="spellEnd"/>
      <w:r>
        <w:rPr>
          <w:sz w:val="22"/>
          <w:szCs w:val="22"/>
        </w:rPr>
        <w:t>, 2017, Elon University</w:t>
      </w:r>
    </w:p>
    <w:p w:rsidR="005D400C" w:rsidRDefault="005D400C" w:rsidP="005B46C0">
      <w:pPr>
        <w:rPr>
          <w:sz w:val="22"/>
          <w:szCs w:val="22"/>
        </w:rPr>
      </w:pPr>
      <w:r>
        <w:rPr>
          <w:sz w:val="22"/>
          <w:szCs w:val="22"/>
        </w:rPr>
        <w:t xml:space="preserve">Sherrie </w:t>
      </w:r>
      <w:proofErr w:type="spellStart"/>
      <w:r>
        <w:rPr>
          <w:sz w:val="22"/>
          <w:szCs w:val="22"/>
        </w:rPr>
        <w:t>Godette</w:t>
      </w:r>
      <w:proofErr w:type="spellEnd"/>
      <w:r>
        <w:rPr>
          <w:sz w:val="22"/>
          <w:szCs w:val="22"/>
        </w:rPr>
        <w:t>, 2016, Consultant</w:t>
      </w:r>
    </w:p>
    <w:p w:rsidR="00AD2CF4" w:rsidRDefault="00AD2CF4" w:rsidP="005B46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Sapna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Varkey</w:t>
      </w:r>
      <w:proofErr w:type="spellEnd"/>
      <w:r>
        <w:rPr>
          <w:sz w:val="22"/>
          <w:szCs w:val="22"/>
        </w:rPr>
        <w:t>, 2019 (expected)</w:t>
      </w:r>
    </w:p>
    <w:p w:rsidR="00871C90" w:rsidRDefault="00871C90" w:rsidP="005B46C0">
      <w:pPr>
        <w:rPr>
          <w:sz w:val="22"/>
          <w:szCs w:val="22"/>
        </w:rPr>
      </w:pPr>
    </w:p>
    <w:p w:rsidR="00871C90" w:rsidRDefault="00871C90" w:rsidP="005B46C0">
      <w:pPr>
        <w:rPr>
          <w:i/>
          <w:sz w:val="22"/>
          <w:szCs w:val="22"/>
          <w:u w:val="single"/>
        </w:rPr>
      </w:pPr>
      <w:r w:rsidRPr="00871C90">
        <w:rPr>
          <w:i/>
          <w:sz w:val="22"/>
          <w:szCs w:val="22"/>
          <w:u w:val="single"/>
        </w:rPr>
        <w:t>Member</w:t>
      </w:r>
    </w:p>
    <w:p w:rsidR="00871C90" w:rsidRDefault="00871C90" w:rsidP="005B46C0">
      <w:pPr>
        <w:rPr>
          <w:sz w:val="22"/>
          <w:szCs w:val="22"/>
          <w:u w:val="single"/>
        </w:rPr>
      </w:pPr>
    </w:p>
    <w:p w:rsidR="00871C90" w:rsidRDefault="00871C90" w:rsidP="005B46C0">
      <w:pPr>
        <w:rPr>
          <w:sz w:val="22"/>
          <w:szCs w:val="22"/>
        </w:rPr>
      </w:pPr>
      <w:r>
        <w:rPr>
          <w:sz w:val="22"/>
          <w:szCs w:val="22"/>
        </w:rPr>
        <w:t xml:space="preserve">Lucas </w:t>
      </w:r>
      <w:proofErr w:type="spellStart"/>
      <w:r>
        <w:rPr>
          <w:sz w:val="22"/>
          <w:szCs w:val="22"/>
        </w:rPr>
        <w:t>Brun</w:t>
      </w:r>
      <w:proofErr w:type="spellEnd"/>
      <w:r>
        <w:rPr>
          <w:sz w:val="22"/>
          <w:szCs w:val="22"/>
        </w:rPr>
        <w:t xml:space="preserve">, 2018, </w:t>
      </w:r>
      <w:r w:rsidRPr="00871C90">
        <w:rPr>
          <w:sz w:val="22"/>
          <w:szCs w:val="22"/>
        </w:rPr>
        <w:t>Duke University, Center on Globalization, Governance &amp; Competitiveness</w:t>
      </w:r>
    </w:p>
    <w:p w:rsidR="00C65731" w:rsidRDefault="006C10B8" w:rsidP="005B46C0">
      <w:pPr>
        <w:rPr>
          <w:sz w:val="22"/>
          <w:szCs w:val="22"/>
        </w:rPr>
      </w:pPr>
      <w:r>
        <w:rPr>
          <w:sz w:val="22"/>
          <w:szCs w:val="22"/>
        </w:rPr>
        <w:t>Bradley Holliday, 2019 (expected)</w:t>
      </w:r>
    </w:p>
    <w:p w:rsidR="006C10B8" w:rsidRDefault="006C10B8" w:rsidP="005B46C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Xintong</w:t>
      </w:r>
      <w:proofErr w:type="spellEnd"/>
      <w:r>
        <w:rPr>
          <w:sz w:val="22"/>
          <w:szCs w:val="22"/>
        </w:rPr>
        <w:t xml:space="preserve"> Chen, 2019 (expected)</w:t>
      </w:r>
    </w:p>
    <w:p w:rsidR="006C10B8" w:rsidRDefault="006C10B8" w:rsidP="005B46C0">
      <w:pPr>
        <w:rPr>
          <w:sz w:val="22"/>
          <w:szCs w:val="22"/>
        </w:rPr>
      </w:pPr>
      <w:r>
        <w:rPr>
          <w:sz w:val="22"/>
          <w:szCs w:val="22"/>
        </w:rPr>
        <w:t>Kate Albrecht, 2019 (expected)</w:t>
      </w:r>
    </w:p>
    <w:p w:rsidR="006C10B8" w:rsidRDefault="006C10B8" w:rsidP="005B46C0">
      <w:pPr>
        <w:rPr>
          <w:sz w:val="22"/>
          <w:szCs w:val="22"/>
        </w:rPr>
      </w:pPr>
    </w:p>
    <w:p w:rsidR="00C65731" w:rsidRDefault="006C10B8" w:rsidP="005B46C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Departmental Service</w:t>
      </w:r>
    </w:p>
    <w:p w:rsidR="006C10B8" w:rsidRDefault="006C10B8" w:rsidP="005B46C0">
      <w:pPr>
        <w:rPr>
          <w:b/>
          <w:sz w:val="22"/>
          <w:szCs w:val="22"/>
          <w:u w:val="single"/>
        </w:rPr>
      </w:pPr>
    </w:p>
    <w:p w:rsidR="006C10B8" w:rsidRDefault="006C10B8" w:rsidP="005B46C0">
      <w:pPr>
        <w:rPr>
          <w:sz w:val="22"/>
          <w:szCs w:val="22"/>
        </w:rPr>
      </w:pPr>
      <w:r>
        <w:rPr>
          <w:sz w:val="22"/>
          <w:szCs w:val="22"/>
        </w:rPr>
        <w:t>CHASS Research Committee, 2014-present</w:t>
      </w:r>
    </w:p>
    <w:p w:rsidR="006C10B8" w:rsidRDefault="006C10B8" w:rsidP="005B46C0">
      <w:pPr>
        <w:rPr>
          <w:sz w:val="22"/>
          <w:szCs w:val="22"/>
        </w:rPr>
      </w:pPr>
      <w:r>
        <w:rPr>
          <w:sz w:val="22"/>
          <w:szCs w:val="22"/>
        </w:rPr>
        <w:t>Public Policy Certificate, Director, 2015-present</w:t>
      </w:r>
    </w:p>
    <w:p w:rsidR="006C10B8" w:rsidRDefault="006C10B8" w:rsidP="005B46C0">
      <w:pPr>
        <w:rPr>
          <w:sz w:val="22"/>
          <w:szCs w:val="22"/>
        </w:rPr>
      </w:pPr>
      <w:r>
        <w:rPr>
          <w:sz w:val="22"/>
          <w:szCs w:val="22"/>
        </w:rPr>
        <w:t xml:space="preserve">Pi Alpha </w:t>
      </w:r>
      <w:proofErr w:type="spellStart"/>
      <w:r>
        <w:rPr>
          <w:sz w:val="22"/>
          <w:szCs w:val="22"/>
        </w:rPr>
        <w:t>Alpha</w:t>
      </w:r>
      <w:proofErr w:type="spellEnd"/>
      <w:r>
        <w:rPr>
          <w:sz w:val="22"/>
          <w:szCs w:val="22"/>
        </w:rPr>
        <w:t>, Director, 2015-present</w:t>
      </w:r>
    </w:p>
    <w:p w:rsidR="006C10B8" w:rsidRDefault="006C10B8" w:rsidP="005B46C0">
      <w:pPr>
        <w:rPr>
          <w:sz w:val="22"/>
          <w:szCs w:val="22"/>
        </w:rPr>
      </w:pPr>
    </w:p>
    <w:p w:rsidR="00F964EF" w:rsidRPr="00F964EF" w:rsidRDefault="00F964EF" w:rsidP="005B46C0">
      <w:pPr>
        <w:rPr>
          <w:b/>
          <w:sz w:val="22"/>
          <w:szCs w:val="22"/>
          <w:u w:val="single"/>
        </w:rPr>
      </w:pPr>
      <w:r w:rsidRPr="00F964EF">
        <w:rPr>
          <w:b/>
          <w:sz w:val="22"/>
          <w:szCs w:val="22"/>
          <w:u w:val="single"/>
        </w:rPr>
        <w:t>Professional Memberships</w:t>
      </w:r>
    </w:p>
    <w:p w:rsidR="00F964EF" w:rsidRDefault="00F964EF" w:rsidP="005B46C0">
      <w:pPr>
        <w:rPr>
          <w:sz w:val="22"/>
          <w:szCs w:val="22"/>
        </w:rPr>
      </w:pPr>
    </w:p>
    <w:p w:rsidR="00F964EF" w:rsidRPr="006C10B8" w:rsidRDefault="00F964EF" w:rsidP="005B46C0">
      <w:pPr>
        <w:rPr>
          <w:sz w:val="22"/>
          <w:szCs w:val="22"/>
        </w:rPr>
      </w:pPr>
      <w:r>
        <w:rPr>
          <w:sz w:val="22"/>
          <w:szCs w:val="22"/>
        </w:rPr>
        <w:t>Association for Public Policy Analysis and Management, 2010-present</w:t>
      </w:r>
    </w:p>
    <w:p w:rsidR="00C65731" w:rsidRPr="00C65731" w:rsidRDefault="00F3495B" w:rsidP="005B46C0">
      <w:pPr>
        <w:rPr>
          <w:sz w:val="22"/>
          <w:szCs w:val="22"/>
        </w:rPr>
      </w:pPr>
      <w:r>
        <w:rPr>
          <w:sz w:val="22"/>
          <w:szCs w:val="22"/>
        </w:rPr>
        <w:t>Association for Budgeting and Financial Management, 2017-present</w:t>
      </w:r>
    </w:p>
    <w:sectPr w:rsidR="00C65731" w:rsidRPr="00C65731" w:rsidSect="00177618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68D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94C0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AB6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184F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06DE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2C2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4EC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5EEE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7E2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1DAAF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97A83"/>
    <w:multiLevelType w:val="hybridMultilevel"/>
    <w:tmpl w:val="825A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160D94"/>
    <w:multiLevelType w:val="hybridMultilevel"/>
    <w:tmpl w:val="536A64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33AFA"/>
    <w:multiLevelType w:val="hybridMultilevel"/>
    <w:tmpl w:val="1ABCF418"/>
    <w:lvl w:ilvl="0" w:tplc="C9069B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373F2"/>
    <w:multiLevelType w:val="hybridMultilevel"/>
    <w:tmpl w:val="3AFAF52E"/>
    <w:lvl w:ilvl="0" w:tplc="7D1E7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1924FF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2" w:tplc="A1FE014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E26CF7"/>
    <w:multiLevelType w:val="hybridMultilevel"/>
    <w:tmpl w:val="1680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4"/>
  </w:num>
  <w:num w:numId="23">
    <w:abstractNumId w:val="11"/>
  </w:num>
  <w:num w:numId="24">
    <w:abstractNumId w:val="12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18"/>
    <w:rsid w:val="00004162"/>
    <w:rsid w:val="000061B1"/>
    <w:rsid w:val="00007F47"/>
    <w:rsid w:val="00016243"/>
    <w:rsid w:val="00023244"/>
    <w:rsid w:val="000479AF"/>
    <w:rsid w:val="000556CE"/>
    <w:rsid w:val="00062087"/>
    <w:rsid w:val="00063FCF"/>
    <w:rsid w:val="0006799B"/>
    <w:rsid w:val="0007008A"/>
    <w:rsid w:val="00097473"/>
    <w:rsid w:val="000A44B9"/>
    <w:rsid w:val="000A4DD5"/>
    <w:rsid w:val="000A5ABD"/>
    <w:rsid w:val="000C7A77"/>
    <w:rsid w:val="000D2683"/>
    <w:rsid w:val="000D568F"/>
    <w:rsid w:val="000E1610"/>
    <w:rsid w:val="000E495C"/>
    <w:rsid w:val="0010792D"/>
    <w:rsid w:val="001126B0"/>
    <w:rsid w:val="00114132"/>
    <w:rsid w:val="00123DD0"/>
    <w:rsid w:val="00140E8E"/>
    <w:rsid w:val="00146039"/>
    <w:rsid w:val="001620DA"/>
    <w:rsid w:val="001629B9"/>
    <w:rsid w:val="00163B62"/>
    <w:rsid w:val="001738DA"/>
    <w:rsid w:val="00177618"/>
    <w:rsid w:val="00184288"/>
    <w:rsid w:val="00184EDF"/>
    <w:rsid w:val="00190391"/>
    <w:rsid w:val="001912FD"/>
    <w:rsid w:val="001B1027"/>
    <w:rsid w:val="001B37D3"/>
    <w:rsid w:val="001B3A6E"/>
    <w:rsid w:val="001B5CD4"/>
    <w:rsid w:val="001B6D70"/>
    <w:rsid w:val="001C2F67"/>
    <w:rsid w:val="001C713A"/>
    <w:rsid w:val="001C793A"/>
    <w:rsid w:val="001D7A3D"/>
    <w:rsid w:val="001E176A"/>
    <w:rsid w:val="001E1CE5"/>
    <w:rsid w:val="001E2613"/>
    <w:rsid w:val="001E5526"/>
    <w:rsid w:val="001F53AB"/>
    <w:rsid w:val="001F6182"/>
    <w:rsid w:val="0020101D"/>
    <w:rsid w:val="00214FF7"/>
    <w:rsid w:val="002219EF"/>
    <w:rsid w:val="00223219"/>
    <w:rsid w:val="002247C0"/>
    <w:rsid w:val="00243384"/>
    <w:rsid w:val="002511C4"/>
    <w:rsid w:val="00260234"/>
    <w:rsid w:val="00262B56"/>
    <w:rsid w:val="00267F46"/>
    <w:rsid w:val="00270BE7"/>
    <w:rsid w:val="002714E9"/>
    <w:rsid w:val="00276861"/>
    <w:rsid w:val="0028366E"/>
    <w:rsid w:val="00294B4B"/>
    <w:rsid w:val="00295A92"/>
    <w:rsid w:val="002A0F1C"/>
    <w:rsid w:val="002A6ED7"/>
    <w:rsid w:val="002B4A06"/>
    <w:rsid w:val="002B7691"/>
    <w:rsid w:val="002B7FAD"/>
    <w:rsid w:val="002C1E2A"/>
    <w:rsid w:val="002C70E6"/>
    <w:rsid w:val="002C7FE1"/>
    <w:rsid w:val="002D698F"/>
    <w:rsid w:val="002E1C20"/>
    <w:rsid w:val="002E31ED"/>
    <w:rsid w:val="002E7CB0"/>
    <w:rsid w:val="002F5619"/>
    <w:rsid w:val="00300ED2"/>
    <w:rsid w:val="00302F20"/>
    <w:rsid w:val="00306A6B"/>
    <w:rsid w:val="00306C11"/>
    <w:rsid w:val="00311DCE"/>
    <w:rsid w:val="00322B13"/>
    <w:rsid w:val="00324EC5"/>
    <w:rsid w:val="00330C5D"/>
    <w:rsid w:val="00332E9F"/>
    <w:rsid w:val="00353CBC"/>
    <w:rsid w:val="00364600"/>
    <w:rsid w:val="00385AF6"/>
    <w:rsid w:val="0039254C"/>
    <w:rsid w:val="003A7ADC"/>
    <w:rsid w:val="003B4235"/>
    <w:rsid w:val="003B6207"/>
    <w:rsid w:val="003C3A2F"/>
    <w:rsid w:val="003E11C9"/>
    <w:rsid w:val="003E5417"/>
    <w:rsid w:val="003E7202"/>
    <w:rsid w:val="003F10F4"/>
    <w:rsid w:val="003F26EA"/>
    <w:rsid w:val="00402676"/>
    <w:rsid w:val="00404BB1"/>
    <w:rsid w:val="004110AA"/>
    <w:rsid w:val="004112DB"/>
    <w:rsid w:val="00413FD2"/>
    <w:rsid w:val="00414649"/>
    <w:rsid w:val="004159BC"/>
    <w:rsid w:val="00416CB7"/>
    <w:rsid w:val="0044318C"/>
    <w:rsid w:val="0045196B"/>
    <w:rsid w:val="00453198"/>
    <w:rsid w:val="00465375"/>
    <w:rsid w:val="00467833"/>
    <w:rsid w:val="00472814"/>
    <w:rsid w:val="004810A3"/>
    <w:rsid w:val="00483BA6"/>
    <w:rsid w:val="00490528"/>
    <w:rsid w:val="00493F66"/>
    <w:rsid w:val="004952D4"/>
    <w:rsid w:val="004A11C6"/>
    <w:rsid w:val="004A5FA7"/>
    <w:rsid w:val="004C3A70"/>
    <w:rsid w:val="004C5196"/>
    <w:rsid w:val="004E0072"/>
    <w:rsid w:val="004E4118"/>
    <w:rsid w:val="004F6EF5"/>
    <w:rsid w:val="005002D2"/>
    <w:rsid w:val="00500DBC"/>
    <w:rsid w:val="00501841"/>
    <w:rsid w:val="00511D2C"/>
    <w:rsid w:val="005238CA"/>
    <w:rsid w:val="00525DA9"/>
    <w:rsid w:val="00532980"/>
    <w:rsid w:val="00533710"/>
    <w:rsid w:val="00545678"/>
    <w:rsid w:val="00546533"/>
    <w:rsid w:val="00547199"/>
    <w:rsid w:val="00547F32"/>
    <w:rsid w:val="00551A69"/>
    <w:rsid w:val="00554869"/>
    <w:rsid w:val="00557418"/>
    <w:rsid w:val="00562826"/>
    <w:rsid w:val="00572787"/>
    <w:rsid w:val="005758A4"/>
    <w:rsid w:val="005773AB"/>
    <w:rsid w:val="005905D3"/>
    <w:rsid w:val="00592443"/>
    <w:rsid w:val="005959CA"/>
    <w:rsid w:val="005A39FF"/>
    <w:rsid w:val="005B204D"/>
    <w:rsid w:val="005B3D97"/>
    <w:rsid w:val="005B46C0"/>
    <w:rsid w:val="005B7E43"/>
    <w:rsid w:val="005C28A4"/>
    <w:rsid w:val="005D0025"/>
    <w:rsid w:val="005D1407"/>
    <w:rsid w:val="005D25FF"/>
    <w:rsid w:val="005D3E34"/>
    <w:rsid w:val="005D400C"/>
    <w:rsid w:val="006039EE"/>
    <w:rsid w:val="00605F0D"/>
    <w:rsid w:val="00612D56"/>
    <w:rsid w:val="00615216"/>
    <w:rsid w:val="00616419"/>
    <w:rsid w:val="006333EB"/>
    <w:rsid w:val="0063534C"/>
    <w:rsid w:val="00653E5B"/>
    <w:rsid w:val="00657C85"/>
    <w:rsid w:val="00663C2C"/>
    <w:rsid w:val="00664074"/>
    <w:rsid w:val="0066476C"/>
    <w:rsid w:val="00671F79"/>
    <w:rsid w:val="00675F6F"/>
    <w:rsid w:val="00682A2F"/>
    <w:rsid w:val="0068485E"/>
    <w:rsid w:val="00685C72"/>
    <w:rsid w:val="00693EB9"/>
    <w:rsid w:val="0069743A"/>
    <w:rsid w:val="006A4195"/>
    <w:rsid w:val="006A558B"/>
    <w:rsid w:val="006B3A01"/>
    <w:rsid w:val="006B49C2"/>
    <w:rsid w:val="006B562B"/>
    <w:rsid w:val="006C10B8"/>
    <w:rsid w:val="006C4811"/>
    <w:rsid w:val="006D05B1"/>
    <w:rsid w:val="006E710A"/>
    <w:rsid w:val="006F12DA"/>
    <w:rsid w:val="00702147"/>
    <w:rsid w:val="007052D3"/>
    <w:rsid w:val="00711AA5"/>
    <w:rsid w:val="00714D73"/>
    <w:rsid w:val="007218A2"/>
    <w:rsid w:val="007235B3"/>
    <w:rsid w:val="007415BF"/>
    <w:rsid w:val="007701FC"/>
    <w:rsid w:val="00773082"/>
    <w:rsid w:val="00777226"/>
    <w:rsid w:val="007778DF"/>
    <w:rsid w:val="00785109"/>
    <w:rsid w:val="00785D63"/>
    <w:rsid w:val="0079152F"/>
    <w:rsid w:val="00795D01"/>
    <w:rsid w:val="007A05D4"/>
    <w:rsid w:val="007A12CF"/>
    <w:rsid w:val="007A204B"/>
    <w:rsid w:val="007A231C"/>
    <w:rsid w:val="007A24CD"/>
    <w:rsid w:val="007B02B4"/>
    <w:rsid w:val="007B2E4E"/>
    <w:rsid w:val="007C3846"/>
    <w:rsid w:val="007D41C3"/>
    <w:rsid w:val="007E5F18"/>
    <w:rsid w:val="007E60B6"/>
    <w:rsid w:val="007F10B1"/>
    <w:rsid w:val="007F3659"/>
    <w:rsid w:val="007F47AA"/>
    <w:rsid w:val="007F65B8"/>
    <w:rsid w:val="00810EEA"/>
    <w:rsid w:val="00817E47"/>
    <w:rsid w:val="00821A95"/>
    <w:rsid w:val="00823168"/>
    <w:rsid w:val="00851E4D"/>
    <w:rsid w:val="00863BBD"/>
    <w:rsid w:val="008673BB"/>
    <w:rsid w:val="00871C90"/>
    <w:rsid w:val="00874740"/>
    <w:rsid w:val="00876AF1"/>
    <w:rsid w:val="008773F7"/>
    <w:rsid w:val="00877445"/>
    <w:rsid w:val="00891E1C"/>
    <w:rsid w:val="008A3E3F"/>
    <w:rsid w:val="008B42BA"/>
    <w:rsid w:val="008B439F"/>
    <w:rsid w:val="008C404E"/>
    <w:rsid w:val="008C5D77"/>
    <w:rsid w:val="008D46CD"/>
    <w:rsid w:val="008E2825"/>
    <w:rsid w:val="008E3C8F"/>
    <w:rsid w:val="008E4270"/>
    <w:rsid w:val="008F0F46"/>
    <w:rsid w:val="008F60DC"/>
    <w:rsid w:val="008F63E3"/>
    <w:rsid w:val="008F75E7"/>
    <w:rsid w:val="0090572D"/>
    <w:rsid w:val="00907F1A"/>
    <w:rsid w:val="00911322"/>
    <w:rsid w:val="00914AD9"/>
    <w:rsid w:val="0092450F"/>
    <w:rsid w:val="00936BCE"/>
    <w:rsid w:val="00943522"/>
    <w:rsid w:val="009651AD"/>
    <w:rsid w:val="00965ADB"/>
    <w:rsid w:val="00973409"/>
    <w:rsid w:val="00973F14"/>
    <w:rsid w:val="00974DF6"/>
    <w:rsid w:val="00990D75"/>
    <w:rsid w:val="009A3331"/>
    <w:rsid w:val="009B21CB"/>
    <w:rsid w:val="009B30C0"/>
    <w:rsid w:val="009D10B0"/>
    <w:rsid w:val="009F43D4"/>
    <w:rsid w:val="009F6DC9"/>
    <w:rsid w:val="00A17E66"/>
    <w:rsid w:val="00A2637F"/>
    <w:rsid w:val="00A27105"/>
    <w:rsid w:val="00A40ACB"/>
    <w:rsid w:val="00A42312"/>
    <w:rsid w:val="00A431F0"/>
    <w:rsid w:val="00A432B9"/>
    <w:rsid w:val="00A501B1"/>
    <w:rsid w:val="00A5562E"/>
    <w:rsid w:val="00A55F4A"/>
    <w:rsid w:val="00A66943"/>
    <w:rsid w:val="00A75A22"/>
    <w:rsid w:val="00A80AF7"/>
    <w:rsid w:val="00A9524A"/>
    <w:rsid w:val="00AB0538"/>
    <w:rsid w:val="00AB3493"/>
    <w:rsid w:val="00AC55E7"/>
    <w:rsid w:val="00AD2CF4"/>
    <w:rsid w:val="00AE4304"/>
    <w:rsid w:val="00AE751D"/>
    <w:rsid w:val="00AE7C13"/>
    <w:rsid w:val="00AF0AEA"/>
    <w:rsid w:val="00AF1857"/>
    <w:rsid w:val="00B0699D"/>
    <w:rsid w:val="00B1774E"/>
    <w:rsid w:val="00B2042E"/>
    <w:rsid w:val="00B250B9"/>
    <w:rsid w:val="00B26E3A"/>
    <w:rsid w:val="00B309A2"/>
    <w:rsid w:val="00B32CE9"/>
    <w:rsid w:val="00B34F27"/>
    <w:rsid w:val="00B36B5B"/>
    <w:rsid w:val="00B37AE8"/>
    <w:rsid w:val="00B37CD8"/>
    <w:rsid w:val="00B43716"/>
    <w:rsid w:val="00B4445E"/>
    <w:rsid w:val="00B445DC"/>
    <w:rsid w:val="00B44ED5"/>
    <w:rsid w:val="00B631A4"/>
    <w:rsid w:val="00B64F03"/>
    <w:rsid w:val="00B70447"/>
    <w:rsid w:val="00B70E15"/>
    <w:rsid w:val="00B7483C"/>
    <w:rsid w:val="00B77FF0"/>
    <w:rsid w:val="00B85A3F"/>
    <w:rsid w:val="00B92089"/>
    <w:rsid w:val="00B958AD"/>
    <w:rsid w:val="00BA052C"/>
    <w:rsid w:val="00BA0811"/>
    <w:rsid w:val="00BA187D"/>
    <w:rsid w:val="00BB048E"/>
    <w:rsid w:val="00BC5C5C"/>
    <w:rsid w:val="00C06407"/>
    <w:rsid w:val="00C10613"/>
    <w:rsid w:val="00C12071"/>
    <w:rsid w:val="00C12098"/>
    <w:rsid w:val="00C1776A"/>
    <w:rsid w:val="00C21CBA"/>
    <w:rsid w:val="00C2395B"/>
    <w:rsid w:val="00C3211B"/>
    <w:rsid w:val="00C61BDD"/>
    <w:rsid w:val="00C65731"/>
    <w:rsid w:val="00C730AD"/>
    <w:rsid w:val="00C76F47"/>
    <w:rsid w:val="00C92FDF"/>
    <w:rsid w:val="00C94324"/>
    <w:rsid w:val="00CB01B5"/>
    <w:rsid w:val="00CB5CF4"/>
    <w:rsid w:val="00CB7DC1"/>
    <w:rsid w:val="00CC6EB1"/>
    <w:rsid w:val="00CC7E52"/>
    <w:rsid w:val="00CD0A45"/>
    <w:rsid w:val="00CD5C78"/>
    <w:rsid w:val="00CD69BB"/>
    <w:rsid w:val="00CE1283"/>
    <w:rsid w:val="00CF3801"/>
    <w:rsid w:val="00CF5A3E"/>
    <w:rsid w:val="00D03A2D"/>
    <w:rsid w:val="00D06304"/>
    <w:rsid w:val="00D11882"/>
    <w:rsid w:val="00D11DF1"/>
    <w:rsid w:val="00D15FE4"/>
    <w:rsid w:val="00D24259"/>
    <w:rsid w:val="00D34575"/>
    <w:rsid w:val="00D464A9"/>
    <w:rsid w:val="00D56761"/>
    <w:rsid w:val="00D571C5"/>
    <w:rsid w:val="00D638D1"/>
    <w:rsid w:val="00D64BC4"/>
    <w:rsid w:val="00D652D1"/>
    <w:rsid w:val="00D71AF3"/>
    <w:rsid w:val="00D76576"/>
    <w:rsid w:val="00D80C45"/>
    <w:rsid w:val="00D84344"/>
    <w:rsid w:val="00DA56A9"/>
    <w:rsid w:val="00DC3998"/>
    <w:rsid w:val="00DC61EE"/>
    <w:rsid w:val="00DD0315"/>
    <w:rsid w:val="00DD1110"/>
    <w:rsid w:val="00DD221B"/>
    <w:rsid w:val="00DD5084"/>
    <w:rsid w:val="00DD5809"/>
    <w:rsid w:val="00DD787B"/>
    <w:rsid w:val="00DE1E2B"/>
    <w:rsid w:val="00DF3B74"/>
    <w:rsid w:val="00E10197"/>
    <w:rsid w:val="00E1141A"/>
    <w:rsid w:val="00E2759A"/>
    <w:rsid w:val="00E40B19"/>
    <w:rsid w:val="00E43A73"/>
    <w:rsid w:val="00E52396"/>
    <w:rsid w:val="00E56903"/>
    <w:rsid w:val="00E57958"/>
    <w:rsid w:val="00E671F3"/>
    <w:rsid w:val="00E704E8"/>
    <w:rsid w:val="00E72B2D"/>
    <w:rsid w:val="00E866EB"/>
    <w:rsid w:val="00EA0F5B"/>
    <w:rsid w:val="00EA1C2E"/>
    <w:rsid w:val="00EB0654"/>
    <w:rsid w:val="00EB3A21"/>
    <w:rsid w:val="00EB3B42"/>
    <w:rsid w:val="00EF2D60"/>
    <w:rsid w:val="00F022A7"/>
    <w:rsid w:val="00F02CD2"/>
    <w:rsid w:val="00F05576"/>
    <w:rsid w:val="00F0583B"/>
    <w:rsid w:val="00F0760C"/>
    <w:rsid w:val="00F25866"/>
    <w:rsid w:val="00F27446"/>
    <w:rsid w:val="00F3495B"/>
    <w:rsid w:val="00F5002A"/>
    <w:rsid w:val="00F55E4F"/>
    <w:rsid w:val="00F65D77"/>
    <w:rsid w:val="00F70FF3"/>
    <w:rsid w:val="00F729E4"/>
    <w:rsid w:val="00F90CEB"/>
    <w:rsid w:val="00F94D09"/>
    <w:rsid w:val="00F964EF"/>
    <w:rsid w:val="00FB43F8"/>
    <w:rsid w:val="00FC1533"/>
    <w:rsid w:val="00FC339F"/>
    <w:rsid w:val="00FE1314"/>
    <w:rsid w:val="00FE35E8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C2DE13"/>
  <w15:docId w15:val="{6E23F2E0-588D-4143-A7BE-2DDE8005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77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77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7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77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77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77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77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177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1776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4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464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464A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464A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464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64A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464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464A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464A9"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1776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6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4A9"/>
    <w:rPr>
      <w:rFonts w:cs="Times New Roman"/>
      <w:sz w:val="2"/>
    </w:rPr>
  </w:style>
  <w:style w:type="paragraph" w:styleId="BlockText">
    <w:name w:val="Block Text"/>
    <w:basedOn w:val="Normal"/>
    <w:uiPriority w:val="99"/>
    <w:rsid w:val="00C1776A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C177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464A9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177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64A9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177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464A9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C1776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464A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177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64A9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1776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64A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77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464A9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1776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464A9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1776A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C1776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464A9"/>
    <w:rPr>
      <w:rFonts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17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64A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64A9"/>
    <w:rPr>
      <w:rFonts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C1776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464A9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17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464A9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C1776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464A9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C177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464A9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C177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C1776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77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64A9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177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64A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177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4A9"/>
    <w:rPr>
      <w:rFonts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rsid w:val="00C1776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464A9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1776A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464A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C1776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1776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1776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1776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1776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1776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1776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1776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177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1776A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C1776A"/>
    <w:pPr>
      <w:ind w:left="360" w:hanging="360"/>
    </w:pPr>
  </w:style>
  <w:style w:type="paragraph" w:styleId="List2">
    <w:name w:val="List 2"/>
    <w:basedOn w:val="Normal"/>
    <w:uiPriority w:val="99"/>
    <w:rsid w:val="00C1776A"/>
    <w:pPr>
      <w:ind w:left="720" w:hanging="360"/>
    </w:pPr>
  </w:style>
  <w:style w:type="paragraph" w:styleId="List3">
    <w:name w:val="List 3"/>
    <w:basedOn w:val="Normal"/>
    <w:uiPriority w:val="99"/>
    <w:rsid w:val="00C1776A"/>
    <w:pPr>
      <w:ind w:left="1080" w:hanging="360"/>
    </w:pPr>
  </w:style>
  <w:style w:type="paragraph" w:styleId="List4">
    <w:name w:val="List 4"/>
    <w:basedOn w:val="Normal"/>
    <w:uiPriority w:val="99"/>
    <w:rsid w:val="00C1776A"/>
    <w:pPr>
      <w:ind w:left="1440" w:hanging="360"/>
    </w:pPr>
  </w:style>
  <w:style w:type="paragraph" w:styleId="List5">
    <w:name w:val="List 5"/>
    <w:basedOn w:val="Normal"/>
    <w:uiPriority w:val="99"/>
    <w:rsid w:val="00C1776A"/>
    <w:pPr>
      <w:ind w:left="1800" w:hanging="360"/>
    </w:pPr>
  </w:style>
  <w:style w:type="paragraph" w:styleId="ListBullet">
    <w:name w:val="List Bullet"/>
    <w:basedOn w:val="Normal"/>
    <w:uiPriority w:val="99"/>
    <w:rsid w:val="00C1776A"/>
    <w:pPr>
      <w:numPr>
        <w:numId w:val="1"/>
      </w:numPr>
    </w:pPr>
  </w:style>
  <w:style w:type="paragraph" w:styleId="ListBullet2">
    <w:name w:val="List Bullet 2"/>
    <w:basedOn w:val="Normal"/>
    <w:uiPriority w:val="99"/>
    <w:rsid w:val="00C1776A"/>
    <w:pPr>
      <w:numPr>
        <w:numId w:val="2"/>
      </w:numPr>
    </w:pPr>
  </w:style>
  <w:style w:type="paragraph" w:styleId="ListBullet3">
    <w:name w:val="List Bullet 3"/>
    <w:basedOn w:val="Normal"/>
    <w:uiPriority w:val="99"/>
    <w:rsid w:val="00C1776A"/>
    <w:pPr>
      <w:numPr>
        <w:numId w:val="3"/>
      </w:numPr>
    </w:pPr>
  </w:style>
  <w:style w:type="paragraph" w:styleId="ListBullet4">
    <w:name w:val="List Bullet 4"/>
    <w:basedOn w:val="Normal"/>
    <w:uiPriority w:val="99"/>
    <w:rsid w:val="00C1776A"/>
    <w:pPr>
      <w:numPr>
        <w:numId w:val="4"/>
      </w:numPr>
    </w:pPr>
  </w:style>
  <w:style w:type="paragraph" w:styleId="ListBullet5">
    <w:name w:val="List Bullet 5"/>
    <w:basedOn w:val="Normal"/>
    <w:uiPriority w:val="99"/>
    <w:rsid w:val="00C1776A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C1776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1776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1776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1776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1776A"/>
    <w:pPr>
      <w:spacing w:after="120"/>
      <w:ind w:left="1800"/>
    </w:pPr>
  </w:style>
  <w:style w:type="paragraph" w:styleId="ListNumber">
    <w:name w:val="List Number"/>
    <w:basedOn w:val="Normal"/>
    <w:uiPriority w:val="99"/>
    <w:rsid w:val="00C1776A"/>
    <w:pPr>
      <w:numPr>
        <w:numId w:val="6"/>
      </w:numPr>
    </w:pPr>
  </w:style>
  <w:style w:type="paragraph" w:styleId="ListNumber2">
    <w:name w:val="List Number 2"/>
    <w:basedOn w:val="Normal"/>
    <w:uiPriority w:val="99"/>
    <w:rsid w:val="00C1776A"/>
    <w:pPr>
      <w:numPr>
        <w:numId w:val="7"/>
      </w:numPr>
    </w:pPr>
  </w:style>
  <w:style w:type="paragraph" w:styleId="ListNumber3">
    <w:name w:val="List Number 3"/>
    <w:basedOn w:val="Normal"/>
    <w:uiPriority w:val="99"/>
    <w:rsid w:val="00C1776A"/>
    <w:pPr>
      <w:numPr>
        <w:numId w:val="8"/>
      </w:numPr>
    </w:pPr>
  </w:style>
  <w:style w:type="paragraph" w:styleId="ListNumber4">
    <w:name w:val="List Number 4"/>
    <w:basedOn w:val="Normal"/>
    <w:uiPriority w:val="99"/>
    <w:rsid w:val="00C1776A"/>
    <w:pPr>
      <w:numPr>
        <w:numId w:val="9"/>
      </w:numPr>
    </w:pPr>
  </w:style>
  <w:style w:type="paragraph" w:styleId="ListNumber5">
    <w:name w:val="List Number 5"/>
    <w:basedOn w:val="Normal"/>
    <w:uiPriority w:val="99"/>
    <w:rsid w:val="00C1776A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C177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464A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C177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464A9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C1776A"/>
  </w:style>
  <w:style w:type="paragraph" w:styleId="NormalIndent">
    <w:name w:val="Normal Indent"/>
    <w:basedOn w:val="Normal"/>
    <w:uiPriority w:val="99"/>
    <w:rsid w:val="00C177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C1776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464A9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776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464A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C1776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464A9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C1776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464A9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177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464A9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1776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1776A"/>
  </w:style>
  <w:style w:type="paragraph" w:styleId="Title">
    <w:name w:val="Title"/>
    <w:basedOn w:val="Normal"/>
    <w:link w:val="TitleChar"/>
    <w:uiPriority w:val="99"/>
    <w:qFormat/>
    <w:rsid w:val="00C177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464A9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C177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1776A"/>
  </w:style>
  <w:style w:type="paragraph" w:styleId="TOC2">
    <w:name w:val="toc 2"/>
    <w:basedOn w:val="Normal"/>
    <w:next w:val="Normal"/>
    <w:autoRedefine/>
    <w:uiPriority w:val="99"/>
    <w:semiHidden/>
    <w:rsid w:val="00C1776A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C1776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C1776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C1776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C1776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C1776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C1776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C1776A"/>
    <w:pPr>
      <w:ind w:left="1920"/>
    </w:pPr>
  </w:style>
  <w:style w:type="paragraph" w:styleId="ListParagraph">
    <w:name w:val="List Paragraph"/>
    <w:basedOn w:val="Normal"/>
    <w:uiPriority w:val="34"/>
    <w:qFormat/>
    <w:rsid w:val="005D3E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27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33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325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3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Keough</vt:lpstr>
    </vt:vector>
  </TitlesOfParts>
  <Company>student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Keough</dc:title>
  <dc:creator>Erin Keough</dc:creator>
  <cp:lastModifiedBy>Jeffrey Childress Diebold PhD</cp:lastModifiedBy>
  <cp:revision>7</cp:revision>
  <cp:lastPrinted>2012-09-17T13:15:00Z</cp:lastPrinted>
  <dcterms:created xsi:type="dcterms:W3CDTF">2018-12-11T16:36:00Z</dcterms:created>
  <dcterms:modified xsi:type="dcterms:W3CDTF">2019-05-23T18:45:00Z</dcterms:modified>
</cp:coreProperties>
</file>