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A5BD5" w14:textId="77777777" w:rsidR="00251EDE" w:rsidRPr="009B21D9" w:rsidRDefault="003B2365" w:rsidP="00251EDE">
      <w:pPr>
        <w:rPr>
          <w:rFonts w:ascii="Times New Roman" w:hAnsi="Times New Roman" w:cs="Times New Roman"/>
        </w:rPr>
      </w:pPr>
      <w:r w:rsidRPr="009B21D9">
        <w:rPr>
          <w:rFonts w:ascii="Times New Roman" w:hAnsi="Times New Roman" w:cs="Times New Roman"/>
          <w:b/>
        </w:rPr>
        <w:t>Description</w:t>
      </w:r>
      <w:r w:rsidR="00251EDE" w:rsidRPr="009B21D9">
        <w:rPr>
          <w:rFonts w:ascii="Times New Roman" w:hAnsi="Times New Roman" w:cs="Times New Roman"/>
        </w:rPr>
        <w:t>:</w:t>
      </w:r>
      <w:r w:rsidR="00804501">
        <w:rPr>
          <w:rFonts w:ascii="Times New Roman" w:hAnsi="Times New Roman" w:cs="Times New Roman"/>
        </w:rPr>
        <w:t xml:space="preserve">  </w:t>
      </w:r>
      <w:r w:rsidR="00804501" w:rsidRPr="00804501">
        <w:rPr>
          <w:rFonts w:ascii="Times New Roman" w:hAnsi="Times New Roman" w:cs="Times New Roman"/>
        </w:rPr>
        <w:t xml:space="preserve">Relocation allowances are </w:t>
      </w:r>
      <w:r w:rsidR="00287D2C">
        <w:rPr>
          <w:rFonts w:ascii="Times New Roman" w:hAnsi="Times New Roman" w:cs="Times New Roman"/>
        </w:rPr>
        <w:t>allowable</w:t>
      </w:r>
      <w:r w:rsidR="00804501" w:rsidRPr="00804501">
        <w:rPr>
          <w:rFonts w:ascii="Times New Roman" w:hAnsi="Times New Roman" w:cs="Times New Roman"/>
        </w:rPr>
        <w:t xml:space="preserve"> for full-time, permanent SAAO, EHRA faculty (tenured, tenure-track, </w:t>
      </w:r>
      <w:r w:rsidR="005069F9">
        <w:rPr>
          <w:rFonts w:ascii="Times New Roman" w:hAnsi="Times New Roman" w:cs="Times New Roman"/>
        </w:rPr>
        <w:t>professional</w:t>
      </w:r>
      <w:r w:rsidR="00804501" w:rsidRPr="00804501">
        <w:rPr>
          <w:rFonts w:ascii="Times New Roman" w:hAnsi="Times New Roman" w:cs="Times New Roman"/>
        </w:rPr>
        <w:t xml:space="preserve"> track), and EHRA non-faculty positions.</w:t>
      </w:r>
    </w:p>
    <w:p w14:paraId="2301B50D" w14:textId="77777777" w:rsidR="00EB6340" w:rsidRDefault="00EB6340" w:rsidP="00804501">
      <w:pPr>
        <w:pStyle w:val="ListParagraph"/>
        <w:numPr>
          <w:ilvl w:val="0"/>
          <w:numId w:val="4"/>
        </w:numPr>
        <w:rPr>
          <w:rFonts w:ascii="Times New Roman" w:hAnsi="Times New Roman" w:cs="Times New Roman"/>
        </w:rPr>
      </w:pPr>
      <w:r w:rsidRPr="00EB6340">
        <w:rPr>
          <w:rFonts w:ascii="Times New Roman" w:hAnsi="Times New Roman" w:cs="Times New Roman"/>
        </w:rPr>
        <w:t xml:space="preserve">Relocation allowances must comply with </w:t>
      </w:r>
      <w:hyperlink r:id="rId8" w:history="1">
        <w:r w:rsidRPr="00EB6340">
          <w:rPr>
            <w:rStyle w:val="Hyperlink"/>
            <w:rFonts w:ascii="Times New Roman" w:hAnsi="Times New Roman" w:cs="Times New Roman"/>
          </w:rPr>
          <w:t>POL 05.15.03 – Non-Salary and Deferred Compensation</w:t>
        </w:r>
      </w:hyperlink>
      <w:r>
        <w:rPr>
          <w:rFonts w:ascii="Times New Roman" w:hAnsi="Times New Roman" w:cs="Times New Roman"/>
        </w:rPr>
        <w:t>,</w:t>
      </w:r>
      <w:r w:rsidR="005069F9">
        <w:rPr>
          <w:rFonts w:ascii="Times New Roman" w:hAnsi="Times New Roman" w:cs="Times New Roman"/>
        </w:rPr>
        <w:t xml:space="preserve"> </w:t>
      </w:r>
      <w:r w:rsidRPr="00EB6340">
        <w:rPr>
          <w:rFonts w:ascii="Times New Roman" w:hAnsi="Times New Roman" w:cs="Times New Roman"/>
        </w:rPr>
        <w:t xml:space="preserve">be authorized in advance, and paid from </w:t>
      </w:r>
      <w:r w:rsidR="00116D8C">
        <w:rPr>
          <w:rFonts w:ascii="Times New Roman" w:hAnsi="Times New Roman" w:cs="Times New Roman"/>
        </w:rPr>
        <w:t>discretionary</w:t>
      </w:r>
      <w:r w:rsidRPr="00EB6340">
        <w:rPr>
          <w:rFonts w:ascii="Times New Roman" w:hAnsi="Times New Roman" w:cs="Times New Roman"/>
        </w:rPr>
        <w:t xml:space="preserve"> funds.</w:t>
      </w:r>
    </w:p>
    <w:p w14:paraId="138B6FD1" w14:textId="77777777" w:rsidR="00EB6340" w:rsidRDefault="005069F9" w:rsidP="00EB6340">
      <w:pPr>
        <w:pStyle w:val="ListParagraph"/>
        <w:numPr>
          <w:ilvl w:val="0"/>
          <w:numId w:val="4"/>
        </w:numPr>
        <w:rPr>
          <w:rFonts w:ascii="Times New Roman" w:hAnsi="Times New Roman" w:cs="Times New Roman"/>
        </w:rPr>
      </w:pPr>
      <w:r>
        <w:rPr>
          <w:rFonts w:ascii="Times New Roman" w:hAnsi="Times New Roman" w:cs="Times New Roman"/>
        </w:rPr>
        <w:t>H</w:t>
      </w:r>
      <w:r w:rsidR="00EB6340" w:rsidRPr="00EB6340">
        <w:rPr>
          <w:rFonts w:ascii="Times New Roman" w:hAnsi="Times New Roman" w:cs="Times New Roman"/>
        </w:rPr>
        <w:t>ousehold moving expenses</w:t>
      </w:r>
      <w:r w:rsidR="00EB6340">
        <w:rPr>
          <w:rFonts w:ascii="Times New Roman" w:hAnsi="Times New Roman" w:cs="Times New Roman"/>
        </w:rPr>
        <w:t>,</w:t>
      </w:r>
      <w:r w:rsidR="00EB6340" w:rsidRPr="00EB6340">
        <w:rPr>
          <w:rFonts w:ascii="Times New Roman" w:hAnsi="Times New Roman" w:cs="Times New Roman"/>
        </w:rPr>
        <w:t xml:space="preserve"> house hunting expenses</w:t>
      </w:r>
      <w:r w:rsidR="00EB6340">
        <w:rPr>
          <w:rFonts w:ascii="Times New Roman" w:hAnsi="Times New Roman" w:cs="Times New Roman"/>
        </w:rPr>
        <w:t>,</w:t>
      </w:r>
      <w:r w:rsidR="00EB6340" w:rsidRPr="00EB6340">
        <w:rPr>
          <w:rFonts w:ascii="Times New Roman" w:hAnsi="Times New Roman" w:cs="Times New Roman"/>
        </w:rPr>
        <w:t xml:space="preserve"> and temporary housing</w:t>
      </w:r>
      <w:r w:rsidR="00EB6340">
        <w:rPr>
          <w:rFonts w:ascii="Times New Roman" w:hAnsi="Times New Roman" w:cs="Times New Roman"/>
        </w:rPr>
        <w:t xml:space="preserve"> are all </w:t>
      </w:r>
      <w:r w:rsidR="00EB6340" w:rsidRPr="00EB6340">
        <w:rPr>
          <w:rFonts w:ascii="Times New Roman" w:hAnsi="Times New Roman" w:cs="Times New Roman"/>
        </w:rPr>
        <w:t>covered under one relocation allowance.</w:t>
      </w:r>
    </w:p>
    <w:p w14:paraId="674D7253" w14:textId="77777777" w:rsidR="00D624A8" w:rsidRDefault="00581063" w:rsidP="003E23BD">
      <w:pPr>
        <w:pStyle w:val="ListParagraph"/>
        <w:numPr>
          <w:ilvl w:val="0"/>
          <w:numId w:val="4"/>
        </w:numPr>
        <w:rPr>
          <w:rFonts w:ascii="Times New Roman" w:hAnsi="Times New Roman" w:cs="Times New Roman"/>
        </w:rPr>
      </w:pPr>
      <w:r w:rsidRPr="009B21D9">
        <w:rPr>
          <w:rFonts w:ascii="Times New Roman" w:hAnsi="Times New Roman" w:cs="Times New Roman"/>
        </w:rPr>
        <w:t xml:space="preserve">The </w:t>
      </w:r>
      <w:r w:rsidR="005069F9">
        <w:rPr>
          <w:rFonts w:ascii="Times New Roman" w:hAnsi="Times New Roman" w:cs="Times New Roman"/>
        </w:rPr>
        <w:t>allowance</w:t>
      </w:r>
      <w:r w:rsidR="00E03C85">
        <w:rPr>
          <w:rFonts w:ascii="Times New Roman" w:hAnsi="Times New Roman" w:cs="Times New Roman"/>
        </w:rPr>
        <w:t xml:space="preserve"> is fully taxable as income.  Even though it will be paid via Financials, </w:t>
      </w:r>
      <w:r w:rsidR="003E23BD">
        <w:rPr>
          <w:rFonts w:ascii="Times New Roman" w:hAnsi="Times New Roman" w:cs="Times New Roman"/>
        </w:rPr>
        <w:t>a</w:t>
      </w:r>
      <w:r w:rsidR="003E23BD" w:rsidRPr="003E23BD">
        <w:rPr>
          <w:rFonts w:ascii="Times New Roman" w:hAnsi="Times New Roman" w:cs="Times New Roman"/>
        </w:rPr>
        <w:t>ll amounts will be included as imputed income by Payroll, and payroll taxes will be deducted in</w:t>
      </w:r>
      <w:r w:rsidR="00287D2C">
        <w:rPr>
          <w:rFonts w:ascii="Times New Roman" w:hAnsi="Times New Roman" w:cs="Times New Roman"/>
        </w:rPr>
        <w:t xml:space="preserve"> the employee’s next paycheck</w:t>
      </w:r>
      <w:r w:rsidR="003E23BD" w:rsidRPr="003E23BD">
        <w:rPr>
          <w:rFonts w:ascii="Times New Roman" w:hAnsi="Times New Roman" w:cs="Times New Roman"/>
        </w:rPr>
        <w:t>.</w:t>
      </w:r>
    </w:p>
    <w:p w14:paraId="2127CC58" w14:textId="77777777" w:rsidR="00804501" w:rsidRDefault="00804501" w:rsidP="003E23BD">
      <w:pPr>
        <w:pStyle w:val="ListParagraph"/>
        <w:numPr>
          <w:ilvl w:val="0"/>
          <w:numId w:val="4"/>
        </w:numPr>
        <w:rPr>
          <w:rFonts w:ascii="Times New Roman" w:hAnsi="Times New Roman" w:cs="Times New Roman"/>
        </w:rPr>
      </w:pPr>
      <w:r w:rsidRPr="00804501">
        <w:rPr>
          <w:rFonts w:ascii="Times New Roman" w:hAnsi="Times New Roman" w:cs="Times New Roman"/>
        </w:rPr>
        <w:t>Not every offer</w:t>
      </w:r>
      <w:r w:rsidR="00287D2C">
        <w:rPr>
          <w:rFonts w:ascii="Times New Roman" w:hAnsi="Times New Roman" w:cs="Times New Roman"/>
        </w:rPr>
        <w:t xml:space="preserve"> </w:t>
      </w:r>
      <w:r w:rsidRPr="00804501">
        <w:rPr>
          <w:rFonts w:ascii="Times New Roman" w:hAnsi="Times New Roman" w:cs="Times New Roman"/>
        </w:rPr>
        <w:t>is intended to include a relocation allowance</w:t>
      </w:r>
      <w:r w:rsidR="00116D8C">
        <w:rPr>
          <w:rFonts w:ascii="Times New Roman" w:hAnsi="Times New Roman" w:cs="Times New Roman"/>
        </w:rPr>
        <w:t xml:space="preserve">, and its inclusion </w:t>
      </w:r>
      <w:r w:rsidRPr="00804501">
        <w:rPr>
          <w:rFonts w:ascii="Times New Roman" w:hAnsi="Times New Roman" w:cs="Times New Roman"/>
        </w:rPr>
        <w:t>should be based on business necessity to attract well-qualified candidates, and contingent upon the availability of discretionary funds.  Key considerations in determining relocation allowances should include geographic origin of the move and distance, unique household circumstances, or other market considerations.</w:t>
      </w:r>
      <w:r w:rsidR="003E23BD">
        <w:rPr>
          <w:rFonts w:ascii="Times New Roman" w:hAnsi="Times New Roman" w:cs="Times New Roman"/>
        </w:rPr>
        <w:t xml:space="preserve">  </w:t>
      </w:r>
      <w:r w:rsidR="003E23BD" w:rsidRPr="003E23BD">
        <w:rPr>
          <w:rFonts w:ascii="Times New Roman" w:hAnsi="Times New Roman" w:cs="Times New Roman"/>
        </w:rPr>
        <w:t xml:space="preserve">Departments </w:t>
      </w:r>
      <w:r w:rsidR="003E23BD">
        <w:rPr>
          <w:rFonts w:ascii="Times New Roman" w:hAnsi="Times New Roman" w:cs="Times New Roman"/>
        </w:rPr>
        <w:t>should</w:t>
      </w:r>
      <w:r w:rsidR="003E23BD" w:rsidRPr="003E23BD">
        <w:rPr>
          <w:rFonts w:ascii="Times New Roman" w:hAnsi="Times New Roman" w:cs="Times New Roman"/>
        </w:rPr>
        <w:t xml:space="preserve"> make decisions about relocation allowances that are principled, equitable, and justifiable</w:t>
      </w:r>
      <w:r w:rsidR="003E23BD">
        <w:rPr>
          <w:rFonts w:ascii="Times New Roman" w:hAnsi="Times New Roman" w:cs="Times New Roman"/>
        </w:rPr>
        <w:t>.</w:t>
      </w:r>
    </w:p>
    <w:p w14:paraId="0ED71EEB" w14:textId="77777777" w:rsidR="00804501" w:rsidRDefault="00804501" w:rsidP="00804501">
      <w:pPr>
        <w:pStyle w:val="ListParagraph"/>
        <w:numPr>
          <w:ilvl w:val="0"/>
          <w:numId w:val="4"/>
        </w:numPr>
        <w:rPr>
          <w:rFonts w:ascii="Times New Roman" w:hAnsi="Times New Roman" w:cs="Times New Roman"/>
        </w:rPr>
      </w:pPr>
      <w:r w:rsidRPr="00804501">
        <w:rPr>
          <w:rFonts w:ascii="Times New Roman" w:hAnsi="Times New Roman" w:cs="Times New Roman"/>
        </w:rPr>
        <w:t xml:space="preserve">All relocation allowance requests must be submitted and </w:t>
      </w:r>
      <w:r w:rsidR="00116D8C">
        <w:rPr>
          <w:rFonts w:ascii="Times New Roman" w:hAnsi="Times New Roman" w:cs="Times New Roman"/>
        </w:rPr>
        <w:t>approved via</w:t>
      </w:r>
      <w:r w:rsidRPr="00804501">
        <w:rPr>
          <w:rFonts w:ascii="Times New Roman" w:hAnsi="Times New Roman" w:cs="Times New Roman"/>
        </w:rPr>
        <w:t xml:space="preserve"> the Non-Salary</w:t>
      </w:r>
      <w:r w:rsidR="00287D2C">
        <w:rPr>
          <w:rFonts w:ascii="Times New Roman" w:hAnsi="Times New Roman" w:cs="Times New Roman"/>
        </w:rPr>
        <w:t xml:space="preserve"> and Deferred Compensation Form and reflected in the offer letter.</w:t>
      </w:r>
    </w:p>
    <w:p w14:paraId="6DC9D3C4" w14:textId="77777777" w:rsidR="003E23BD" w:rsidRPr="00804501" w:rsidRDefault="003E23BD" w:rsidP="003E23BD">
      <w:pPr>
        <w:pStyle w:val="ListParagraph"/>
        <w:numPr>
          <w:ilvl w:val="0"/>
          <w:numId w:val="4"/>
        </w:numPr>
        <w:rPr>
          <w:rFonts w:ascii="Times New Roman" w:hAnsi="Times New Roman" w:cs="Times New Roman"/>
        </w:rPr>
      </w:pPr>
      <w:r w:rsidRPr="003E23BD">
        <w:rPr>
          <w:rFonts w:ascii="Times New Roman" w:hAnsi="Times New Roman" w:cs="Times New Roman"/>
        </w:rPr>
        <w:t xml:space="preserve">Relocation allowances </w:t>
      </w:r>
      <w:r w:rsidR="00287D2C">
        <w:rPr>
          <w:rFonts w:ascii="Times New Roman" w:hAnsi="Times New Roman" w:cs="Times New Roman"/>
        </w:rPr>
        <w:t>will only be paid</w:t>
      </w:r>
      <w:r w:rsidRPr="003E23BD">
        <w:rPr>
          <w:rFonts w:ascii="Times New Roman" w:hAnsi="Times New Roman" w:cs="Times New Roman"/>
        </w:rPr>
        <w:t xml:space="preserve"> to an employee and not on behalf of an employee with a P-card or NCSU Marketplace, NCSU Purchase Order, or directly to a vendor.</w:t>
      </w:r>
    </w:p>
    <w:p w14:paraId="72CE0175" w14:textId="77777777" w:rsidR="00D624A8" w:rsidRPr="009B21D9" w:rsidRDefault="005069F9" w:rsidP="005069F9">
      <w:pPr>
        <w:pStyle w:val="ListParagraph"/>
        <w:numPr>
          <w:ilvl w:val="0"/>
          <w:numId w:val="4"/>
        </w:numPr>
        <w:spacing w:after="0"/>
        <w:rPr>
          <w:rFonts w:ascii="Times New Roman" w:hAnsi="Times New Roman" w:cs="Times New Roman"/>
        </w:rPr>
      </w:pPr>
      <w:r w:rsidRPr="005069F9">
        <w:rPr>
          <w:rFonts w:ascii="Times New Roman" w:hAnsi="Times New Roman" w:cs="Times New Roman"/>
        </w:rPr>
        <w:t>The following relocation allowances, as designated by the Chancellor, are the maximum amount to be paid, not t</w:t>
      </w:r>
      <w:r>
        <w:rPr>
          <w:rFonts w:ascii="Times New Roman" w:hAnsi="Times New Roman" w:cs="Times New Roman"/>
        </w:rPr>
        <w:t>he minimum or expected amounts:</w:t>
      </w:r>
    </w:p>
    <w:tbl>
      <w:tblPr>
        <w:tblStyle w:val="TableGrid"/>
        <w:tblW w:w="0" w:type="auto"/>
        <w:tblInd w:w="1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5"/>
        <w:gridCol w:w="990"/>
      </w:tblGrid>
      <w:tr w:rsidR="00D624A8" w:rsidRPr="009B21D9" w14:paraId="45893803" w14:textId="77777777" w:rsidTr="005069F9">
        <w:tc>
          <w:tcPr>
            <w:tcW w:w="3605" w:type="dxa"/>
            <w:vAlign w:val="center"/>
          </w:tcPr>
          <w:p w14:paraId="641ADE10" w14:textId="77777777" w:rsidR="00D624A8" w:rsidRPr="009B21D9" w:rsidRDefault="00D624A8" w:rsidP="005C3E65">
            <w:pPr>
              <w:rPr>
                <w:rFonts w:ascii="Times New Roman" w:hAnsi="Times New Roman" w:cs="Times New Roman"/>
              </w:rPr>
            </w:pPr>
            <w:r w:rsidRPr="009B21D9">
              <w:rPr>
                <w:rFonts w:ascii="Times New Roman" w:hAnsi="Times New Roman" w:cs="Times New Roman"/>
              </w:rPr>
              <w:t>SAAO Tier 2</w:t>
            </w:r>
          </w:p>
        </w:tc>
        <w:tc>
          <w:tcPr>
            <w:tcW w:w="990" w:type="dxa"/>
            <w:vAlign w:val="center"/>
          </w:tcPr>
          <w:p w14:paraId="75C5EFB0" w14:textId="77777777" w:rsidR="00D624A8" w:rsidRPr="009B21D9" w:rsidRDefault="00D624A8" w:rsidP="005C3E65">
            <w:pPr>
              <w:jc w:val="right"/>
              <w:rPr>
                <w:rFonts w:ascii="Times New Roman" w:hAnsi="Times New Roman" w:cs="Times New Roman"/>
              </w:rPr>
            </w:pPr>
            <w:r w:rsidRPr="009B21D9">
              <w:rPr>
                <w:rFonts w:ascii="Times New Roman" w:hAnsi="Times New Roman" w:cs="Times New Roman"/>
              </w:rPr>
              <w:t>$20,000</w:t>
            </w:r>
          </w:p>
        </w:tc>
      </w:tr>
      <w:tr w:rsidR="00D624A8" w:rsidRPr="009B21D9" w14:paraId="0EDBB87D" w14:textId="77777777" w:rsidTr="005069F9">
        <w:tc>
          <w:tcPr>
            <w:tcW w:w="3605" w:type="dxa"/>
            <w:vAlign w:val="center"/>
          </w:tcPr>
          <w:p w14:paraId="3C369558" w14:textId="77777777" w:rsidR="00D624A8" w:rsidRPr="009B21D9" w:rsidRDefault="00D624A8" w:rsidP="005069F9">
            <w:pPr>
              <w:rPr>
                <w:rFonts w:ascii="Times New Roman" w:hAnsi="Times New Roman" w:cs="Times New Roman"/>
              </w:rPr>
            </w:pPr>
            <w:r w:rsidRPr="009B21D9">
              <w:rPr>
                <w:rFonts w:ascii="Times New Roman" w:hAnsi="Times New Roman" w:cs="Times New Roman"/>
              </w:rPr>
              <w:t xml:space="preserve">Faculty (T/TT or </w:t>
            </w:r>
            <w:r w:rsidR="005069F9">
              <w:rPr>
                <w:rFonts w:ascii="Times New Roman" w:hAnsi="Times New Roman" w:cs="Times New Roman"/>
              </w:rPr>
              <w:t>professional track</w:t>
            </w:r>
            <w:r w:rsidRPr="009B21D9">
              <w:rPr>
                <w:rFonts w:ascii="Times New Roman" w:hAnsi="Times New Roman" w:cs="Times New Roman"/>
              </w:rPr>
              <w:t>)</w:t>
            </w:r>
          </w:p>
        </w:tc>
        <w:tc>
          <w:tcPr>
            <w:tcW w:w="990" w:type="dxa"/>
            <w:vAlign w:val="center"/>
          </w:tcPr>
          <w:p w14:paraId="150C2B09" w14:textId="77777777" w:rsidR="00D624A8" w:rsidRPr="009B21D9" w:rsidRDefault="00D624A8" w:rsidP="005C3E65">
            <w:pPr>
              <w:jc w:val="right"/>
              <w:rPr>
                <w:rFonts w:ascii="Times New Roman" w:hAnsi="Times New Roman" w:cs="Times New Roman"/>
              </w:rPr>
            </w:pPr>
            <w:r w:rsidRPr="009B21D9">
              <w:rPr>
                <w:rFonts w:ascii="Times New Roman" w:hAnsi="Times New Roman" w:cs="Times New Roman"/>
              </w:rPr>
              <w:t>$15,000</w:t>
            </w:r>
          </w:p>
        </w:tc>
      </w:tr>
      <w:tr w:rsidR="00D624A8" w:rsidRPr="009B21D9" w14:paraId="71BF10CC" w14:textId="77777777" w:rsidTr="005069F9">
        <w:tc>
          <w:tcPr>
            <w:tcW w:w="3605" w:type="dxa"/>
            <w:vAlign w:val="center"/>
          </w:tcPr>
          <w:p w14:paraId="1E413A13" w14:textId="77777777" w:rsidR="00D624A8" w:rsidRPr="009B21D9" w:rsidRDefault="00D624A8" w:rsidP="005C3E65">
            <w:pPr>
              <w:rPr>
                <w:rFonts w:ascii="Times New Roman" w:hAnsi="Times New Roman" w:cs="Times New Roman"/>
              </w:rPr>
            </w:pPr>
            <w:r w:rsidRPr="009B21D9">
              <w:rPr>
                <w:rFonts w:ascii="Times New Roman" w:hAnsi="Times New Roman" w:cs="Times New Roman"/>
              </w:rPr>
              <w:t>Non-Faculty EHRA</w:t>
            </w:r>
          </w:p>
        </w:tc>
        <w:tc>
          <w:tcPr>
            <w:tcW w:w="990" w:type="dxa"/>
            <w:vAlign w:val="center"/>
          </w:tcPr>
          <w:p w14:paraId="475DBA40" w14:textId="77777777" w:rsidR="00D624A8" w:rsidRPr="009B21D9" w:rsidRDefault="00D624A8" w:rsidP="005C3E65">
            <w:pPr>
              <w:jc w:val="right"/>
              <w:rPr>
                <w:rFonts w:ascii="Times New Roman" w:hAnsi="Times New Roman" w:cs="Times New Roman"/>
              </w:rPr>
            </w:pPr>
            <w:r w:rsidRPr="009B21D9">
              <w:rPr>
                <w:rFonts w:ascii="Times New Roman" w:hAnsi="Times New Roman" w:cs="Times New Roman"/>
              </w:rPr>
              <w:t>$10,000</w:t>
            </w:r>
          </w:p>
        </w:tc>
      </w:tr>
    </w:tbl>
    <w:p w14:paraId="49F4635C" w14:textId="77777777" w:rsidR="00116D8C" w:rsidRDefault="00543433" w:rsidP="00581063">
      <w:pPr>
        <w:pStyle w:val="ListParagraph"/>
        <w:numPr>
          <w:ilvl w:val="0"/>
          <w:numId w:val="5"/>
        </w:numPr>
        <w:spacing w:after="0"/>
        <w:rPr>
          <w:rFonts w:ascii="Times New Roman" w:hAnsi="Times New Roman" w:cs="Times New Roman"/>
        </w:rPr>
      </w:pPr>
      <w:r w:rsidRPr="009B21D9">
        <w:rPr>
          <w:rFonts w:ascii="Times New Roman" w:hAnsi="Times New Roman" w:cs="Times New Roman"/>
        </w:rPr>
        <w:t xml:space="preserve">The </w:t>
      </w:r>
      <w:r w:rsidR="005069F9">
        <w:rPr>
          <w:rFonts w:ascii="Times New Roman" w:hAnsi="Times New Roman" w:cs="Times New Roman"/>
        </w:rPr>
        <w:t xml:space="preserve">college will provide funding </w:t>
      </w:r>
      <w:r w:rsidR="00287D2C">
        <w:rPr>
          <w:rFonts w:ascii="Times New Roman" w:hAnsi="Times New Roman" w:cs="Times New Roman"/>
        </w:rPr>
        <w:t xml:space="preserve">of </w:t>
      </w:r>
      <w:r w:rsidR="005069F9">
        <w:rPr>
          <w:rFonts w:ascii="Times New Roman" w:hAnsi="Times New Roman" w:cs="Times New Roman"/>
        </w:rPr>
        <w:t xml:space="preserve">up to $3,000 </w:t>
      </w:r>
      <w:r w:rsidR="00116D8C">
        <w:rPr>
          <w:rFonts w:ascii="Times New Roman" w:hAnsi="Times New Roman" w:cs="Times New Roman"/>
        </w:rPr>
        <w:t>for</w:t>
      </w:r>
      <w:r w:rsidR="005069F9">
        <w:rPr>
          <w:rFonts w:ascii="Times New Roman" w:hAnsi="Times New Roman" w:cs="Times New Roman"/>
        </w:rPr>
        <w:t xml:space="preserve"> </w:t>
      </w:r>
      <w:r w:rsidRPr="009B21D9">
        <w:rPr>
          <w:rFonts w:ascii="Times New Roman" w:hAnsi="Times New Roman" w:cs="Times New Roman"/>
          <w:b/>
        </w:rPr>
        <w:t>T/TT faculty</w:t>
      </w:r>
      <w:r w:rsidR="00287D2C">
        <w:rPr>
          <w:rFonts w:ascii="Times New Roman" w:hAnsi="Times New Roman" w:cs="Times New Roman"/>
          <w:b/>
        </w:rPr>
        <w:t xml:space="preserve"> hires</w:t>
      </w:r>
      <w:r w:rsidRPr="009B21D9">
        <w:rPr>
          <w:rFonts w:ascii="Times New Roman" w:hAnsi="Times New Roman" w:cs="Times New Roman"/>
        </w:rPr>
        <w:t xml:space="preserve">, excluding spousal hires.  </w:t>
      </w:r>
      <w:r w:rsidR="005069F9">
        <w:rPr>
          <w:rFonts w:ascii="Times New Roman" w:hAnsi="Times New Roman" w:cs="Times New Roman"/>
        </w:rPr>
        <w:t>The college will also cover the costs for college administrative hires</w:t>
      </w:r>
      <w:r w:rsidR="00116D8C">
        <w:rPr>
          <w:rFonts w:ascii="Times New Roman" w:hAnsi="Times New Roman" w:cs="Times New Roman"/>
        </w:rPr>
        <w:t xml:space="preserve"> that report directly to the Dean (</w:t>
      </w:r>
      <w:r w:rsidR="005069F9">
        <w:rPr>
          <w:rFonts w:ascii="Times New Roman" w:hAnsi="Times New Roman" w:cs="Times New Roman"/>
        </w:rPr>
        <w:t>including Heads</w:t>
      </w:r>
      <w:r w:rsidR="00116D8C">
        <w:rPr>
          <w:rFonts w:ascii="Times New Roman" w:hAnsi="Times New Roman" w:cs="Times New Roman"/>
        </w:rPr>
        <w:t>)</w:t>
      </w:r>
      <w:r w:rsidR="005069F9">
        <w:rPr>
          <w:rFonts w:ascii="Times New Roman" w:hAnsi="Times New Roman" w:cs="Times New Roman"/>
        </w:rPr>
        <w:t xml:space="preserve">.  </w:t>
      </w:r>
    </w:p>
    <w:p w14:paraId="3F94A700" w14:textId="77777777" w:rsidR="005069F9" w:rsidRDefault="00543433" w:rsidP="00581063">
      <w:pPr>
        <w:pStyle w:val="ListParagraph"/>
        <w:numPr>
          <w:ilvl w:val="0"/>
          <w:numId w:val="5"/>
        </w:numPr>
        <w:spacing w:after="0"/>
        <w:rPr>
          <w:rFonts w:ascii="Times New Roman" w:hAnsi="Times New Roman" w:cs="Times New Roman"/>
        </w:rPr>
      </w:pPr>
      <w:r w:rsidRPr="009B21D9">
        <w:rPr>
          <w:rFonts w:ascii="Times New Roman" w:hAnsi="Times New Roman" w:cs="Times New Roman"/>
        </w:rPr>
        <w:t xml:space="preserve">Departments may </w:t>
      </w:r>
      <w:r w:rsidR="00116D8C">
        <w:rPr>
          <w:rFonts w:ascii="Times New Roman" w:hAnsi="Times New Roman" w:cs="Times New Roman"/>
        </w:rPr>
        <w:t>elect to</w:t>
      </w:r>
      <w:r w:rsidR="00287D2C">
        <w:rPr>
          <w:rFonts w:ascii="Times New Roman" w:hAnsi="Times New Roman" w:cs="Times New Roman"/>
        </w:rPr>
        <w:t xml:space="preserve"> provide</w:t>
      </w:r>
      <w:r w:rsidR="00116D8C">
        <w:rPr>
          <w:rFonts w:ascii="Times New Roman" w:hAnsi="Times New Roman" w:cs="Times New Roman"/>
        </w:rPr>
        <w:t xml:space="preserve"> </w:t>
      </w:r>
      <w:r w:rsidR="00287D2C">
        <w:rPr>
          <w:rFonts w:ascii="Times New Roman" w:hAnsi="Times New Roman" w:cs="Times New Roman"/>
        </w:rPr>
        <w:t>allowances</w:t>
      </w:r>
      <w:r w:rsidRPr="009B21D9">
        <w:rPr>
          <w:rFonts w:ascii="Times New Roman" w:hAnsi="Times New Roman" w:cs="Times New Roman"/>
        </w:rPr>
        <w:t xml:space="preserve"> </w:t>
      </w:r>
      <w:r w:rsidR="00287D2C">
        <w:rPr>
          <w:rFonts w:ascii="Times New Roman" w:hAnsi="Times New Roman" w:cs="Times New Roman"/>
        </w:rPr>
        <w:t>up to the maximum amounts</w:t>
      </w:r>
      <w:r w:rsidRPr="009B21D9">
        <w:rPr>
          <w:rFonts w:ascii="Times New Roman" w:hAnsi="Times New Roman" w:cs="Times New Roman"/>
        </w:rPr>
        <w:t>, bu</w:t>
      </w:r>
      <w:r w:rsidR="00116D8C">
        <w:rPr>
          <w:rFonts w:ascii="Times New Roman" w:hAnsi="Times New Roman" w:cs="Times New Roman"/>
        </w:rPr>
        <w:t xml:space="preserve">t </w:t>
      </w:r>
      <w:r w:rsidR="00287D2C">
        <w:rPr>
          <w:rFonts w:ascii="Times New Roman" w:hAnsi="Times New Roman" w:cs="Times New Roman"/>
        </w:rPr>
        <w:t xml:space="preserve">departments </w:t>
      </w:r>
      <w:r w:rsidR="00116D8C">
        <w:rPr>
          <w:rFonts w:ascii="Times New Roman" w:hAnsi="Times New Roman" w:cs="Times New Roman"/>
        </w:rPr>
        <w:t xml:space="preserve">must cover any amount beyond $3,000 </w:t>
      </w:r>
      <w:r w:rsidR="005069F9">
        <w:rPr>
          <w:rFonts w:ascii="Times New Roman" w:hAnsi="Times New Roman" w:cs="Times New Roman"/>
        </w:rPr>
        <w:t xml:space="preserve">for T/TT faculty and the full costs for other eligible </w:t>
      </w:r>
      <w:r w:rsidR="00287D2C">
        <w:rPr>
          <w:rFonts w:ascii="Times New Roman" w:hAnsi="Times New Roman" w:cs="Times New Roman"/>
        </w:rPr>
        <w:t xml:space="preserve">EHRA </w:t>
      </w:r>
      <w:r w:rsidR="005069F9">
        <w:rPr>
          <w:rFonts w:ascii="Times New Roman" w:hAnsi="Times New Roman" w:cs="Times New Roman"/>
        </w:rPr>
        <w:t xml:space="preserve">hires </w:t>
      </w:r>
      <w:r w:rsidR="00A25317">
        <w:rPr>
          <w:rFonts w:ascii="Times New Roman" w:hAnsi="Times New Roman" w:cs="Times New Roman"/>
        </w:rPr>
        <w:t>with departmental discretionary funds</w:t>
      </w:r>
      <w:r w:rsidRPr="009B21D9">
        <w:rPr>
          <w:rFonts w:ascii="Times New Roman" w:hAnsi="Times New Roman" w:cs="Times New Roman"/>
        </w:rPr>
        <w:t xml:space="preserve">.  </w:t>
      </w:r>
    </w:p>
    <w:p w14:paraId="44D77807" w14:textId="77777777" w:rsidR="00313E07" w:rsidRPr="00313E07" w:rsidRDefault="00543433" w:rsidP="00313E07">
      <w:pPr>
        <w:pStyle w:val="ListParagraph"/>
        <w:numPr>
          <w:ilvl w:val="0"/>
          <w:numId w:val="5"/>
        </w:numPr>
        <w:rPr>
          <w:rFonts w:ascii="Times New Roman" w:hAnsi="Times New Roman" w:cs="Times New Roman"/>
        </w:rPr>
      </w:pPr>
      <w:r w:rsidRPr="00313E07">
        <w:rPr>
          <w:rFonts w:ascii="Times New Roman" w:hAnsi="Times New Roman" w:cs="Times New Roman"/>
        </w:rPr>
        <w:t>Exceptions beyond the</w:t>
      </w:r>
      <w:r w:rsidR="00A25317" w:rsidRPr="00313E07">
        <w:rPr>
          <w:rFonts w:ascii="Times New Roman" w:hAnsi="Times New Roman" w:cs="Times New Roman"/>
        </w:rPr>
        <w:t xml:space="preserve"> </w:t>
      </w:r>
      <w:r w:rsidR="00D624A8" w:rsidRPr="00313E07">
        <w:rPr>
          <w:rFonts w:ascii="Times New Roman" w:hAnsi="Times New Roman" w:cs="Times New Roman"/>
        </w:rPr>
        <w:t xml:space="preserve">maximum amounts </w:t>
      </w:r>
      <w:r w:rsidR="00A25317" w:rsidRPr="00313E07">
        <w:rPr>
          <w:rFonts w:ascii="Times New Roman" w:hAnsi="Times New Roman" w:cs="Times New Roman"/>
        </w:rPr>
        <w:t>listed above</w:t>
      </w:r>
      <w:r w:rsidR="00313E07" w:rsidRPr="00313E07">
        <w:rPr>
          <w:rFonts w:ascii="Times New Roman" w:hAnsi="Times New Roman" w:cs="Times New Roman"/>
        </w:rPr>
        <w:t xml:space="preserve"> require p</w:t>
      </w:r>
      <w:r w:rsidRPr="00313E07">
        <w:rPr>
          <w:rFonts w:ascii="Times New Roman" w:hAnsi="Times New Roman" w:cs="Times New Roman"/>
        </w:rPr>
        <w:t xml:space="preserve">re-approval from the </w:t>
      </w:r>
      <w:r w:rsidR="00313E07" w:rsidRPr="00313E07">
        <w:rPr>
          <w:rFonts w:ascii="Times New Roman" w:hAnsi="Times New Roman" w:cs="Times New Roman"/>
        </w:rPr>
        <w:t xml:space="preserve">Dean and </w:t>
      </w:r>
      <w:r w:rsidRPr="00313E07">
        <w:rPr>
          <w:rFonts w:ascii="Times New Roman" w:hAnsi="Times New Roman" w:cs="Times New Roman"/>
        </w:rPr>
        <w:t>Provost</w:t>
      </w:r>
      <w:r w:rsidR="00313E07">
        <w:rPr>
          <w:rFonts w:ascii="Times New Roman" w:hAnsi="Times New Roman" w:cs="Times New Roman"/>
        </w:rPr>
        <w:t xml:space="preserve">.  </w:t>
      </w:r>
      <w:r w:rsidR="00313E07" w:rsidRPr="00313E07">
        <w:rPr>
          <w:rFonts w:ascii="Times New Roman" w:hAnsi="Times New Roman" w:cs="Times New Roman"/>
        </w:rPr>
        <w:t xml:space="preserve">Receipts are only required when approved to go above the university maximum amounts.  If granted an exception, payment will be limited to the actual amount of relocation expenses incurred, up to the designated exception amount, supported by receipts.  </w:t>
      </w:r>
    </w:p>
    <w:p w14:paraId="192473E5" w14:textId="77777777" w:rsidR="00543433" w:rsidRPr="009B21D9" w:rsidRDefault="00313E07" w:rsidP="00543433">
      <w:pPr>
        <w:pStyle w:val="ListParagraph"/>
        <w:numPr>
          <w:ilvl w:val="0"/>
          <w:numId w:val="2"/>
        </w:numPr>
        <w:rPr>
          <w:rFonts w:ascii="Times New Roman" w:hAnsi="Times New Roman" w:cs="Times New Roman"/>
        </w:rPr>
      </w:pPr>
      <w:r>
        <w:rPr>
          <w:rFonts w:ascii="Times New Roman" w:hAnsi="Times New Roman" w:cs="Times New Roman"/>
        </w:rPr>
        <w:t>Although p</w:t>
      </w:r>
      <w:r w:rsidR="00543433" w:rsidRPr="009B21D9">
        <w:rPr>
          <w:rFonts w:ascii="Times New Roman" w:hAnsi="Times New Roman" w:cs="Times New Roman"/>
        </w:rPr>
        <w:t>ayments can be made as one flat-rate payment or through installments</w:t>
      </w:r>
      <w:r>
        <w:rPr>
          <w:rFonts w:ascii="Times New Roman" w:hAnsi="Times New Roman" w:cs="Times New Roman"/>
        </w:rPr>
        <w:t>, ou</w:t>
      </w:r>
      <w:r w:rsidR="00543433" w:rsidRPr="009B21D9">
        <w:rPr>
          <w:rFonts w:ascii="Times New Roman" w:hAnsi="Times New Roman" w:cs="Times New Roman"/>
        </w:rPr>
        <w:t xml:space="preserve">r college practice will be to pay </w:t>
      </w:r>
      <w:r w:rsidR="00543433" w:rsidRPr="009B21D9">
        <w:rPr>
          <w:rFonts w:ascii="Times New Roman" w:hAnsi="Times New Roman" w:cs="Times New Roman"/>
          <w:b/>
        </w:rPr>
        <w:t>one flat amount</w:t>
      </w:r>
      <w:r w:rsidR="00543433" w:rsidRPr="009B21D9">
        <w:rPr>
          <w:rFonts w:ascii="Times New Roman" w:hAnsi="Times New Roman" w:cs="Times New Roman"/>
        </w:rPr>
        <w:t xml:space="preserve">.  </w:t>
      </w:r>
    </w:p>
    <w:p w14:paraId="267ED962" w14:textId="77777777" w:rsidR="00C81D6A" w:rsidRPr="009B21D9" w:rsidRDefault="00D624A8" w:rsidP="003E23BD">
      <w:pPr>
        <w:pStyle w:val="ListParagraph"/>
        <w:numPr>
          <w:ilvl w:val="0"/>
          <w:numId w:val="4"/>
        </w:numPr>
        <w:spacing w:after="0"/>
        <w:rPr>
          <w:rFonts w:ascii="Times New Roman" w:hAnsi="Times New Roman" w:cs="Times New Roman"/>
        </w:rPr>
      </w:pPr>
      <w:r w:rsidRPr="009B21D9">
        <w:rPr>
          <w:rFonts w:ascii="Times New Roman" w:hAnsi="Times New Roman" w:cs="Times New Roman"/>
        </w:rPr>
        <w:t xml:space="preserve">Employees that separate from University employment prior to one year of completed employment may be required to reimburse at the gross amount of any allowance received.  It </w:t>
      </w:r>
      <w:r w:rsidR="00116D8C">
        <w:rPr>
          <w:rFonts w:ascii="Times New Roman" w:hAnsi="Times New Roman" w:cs="Times New Roman"/>
        </w:rPr>
        <w:t>is</w:t>
      </w:r>
      <w:r w:rsidRPr="009B21D9">
        <w:rPr>
          <w:rFonts w:ascii="Times New Roman" w:hAnsi="Times New Roman" w:cs="Times New Roman"/>
        </w:rPr>
        <w:t xml:space="preserve"> the responsibility of the hiring department to collect any required reimbursement of relocation expenses from the employee. </w:t>
      </w:r>
      <w:r w:rsidR="003E23BD" w:rsidRPr="003E23BD">
        <w:rPr>
          <w:rFonts w:ascii="Times New Roman" w:hAnsi="Times New Roman" w:cs="Times New Roman"/>
        </w:rPr>
        <w:t xml:space="preserve">No tax withholding or reporting adjustments </w:t>
      </w:r>
      <w:r w:rsidR="003E23BD">
        <w:rPr>
          <w:rFonts w:ascii="Times New Roman" w:hAnsi="Times New Roman" w:cs="Times New Roman"/>
        </w:rPr>
        <w:t xml:space="preserve">for repayment </w:t>
      </w:r>
      <w:r w:rsidR="003E23BD" w:rsidRPr="003E23BD">
        <w:rPr>
          <w:rFonts w:ascii="Times New Roman" w:hAnsi="Times New Roman" w:cs="Times New Roman"/>
        </w:rPr>
        <w:t xml:space="preserve">will be made by Payroll. </w:t>
      </w:r>
      <w:r w:rsidR="00543433" w:rsidRPr="009B21D9">
        <w:rPr>
          <w:rFonts w:ascii="Times New Roman" w:hAnsi="Times New Roman" w:cs="Times New Roman"/>
        </w:rPr>
        <w:t xml:space="preserve">Our college practice will be to </w:t>
      </w:r>
      <w:r w:rsidR="00543433" w:rsidRPr="009B21D9">
        <w:rPr>
          <w:rFonts w:ascii="Times New Roman" w:hAnsi="Times New Roman" w:cs="Times New Roman"/>
          <w:b/>
          <w:u w:val="single"/>
        </w:rPr>
        <w:t>not</w:t>
      </w:r>
      <w:r w:rsidR="00543433" w:rsidRPr="009B21D9">
        <w:rPr>
          <w:rFonts w:ascii="Times New Roman" w:hAnsi="Times New Roman" w:cs="Times New Roman"/>
        </w:rPr>
        <w:t xml:space="preserve"> collect reimbursement of relocation expenses.</w:t>
      </w:r>
    </w:p>
    <w:p w14:paraId="6B663920" w14:textId="77777777" w:rsidR="00B262EA" w:rsidRPr="009B21D9" w:rsidRDefault="00B262EA" w:rsidP="00B262EA">
      <w:pPr>
        <w:pStyle w:val="ListParagraph"/>
        <w:numPr>
          <w:ilvl w:val="0"/>
          <w:numId w:val="4"/>
        </w:numPr>
        <w:spacing w:after="0"/>
        <w:rPr>
          <w:rFonts w:ascii="Times New Roman" w:hAnsi="Times New Roman" w:cs="Times New Roman"/>
        </w:rPr>
      </w:pPr>
      <w:r w:rsidRPr="009B21D9">
        <w:rPr>
          <w:rFonts w:ascii="Times New Roman" w:hAnsi="Times New Roman" w:cs="Times New Roman"/>
        </w:rPr>
        <w:t>To get a fuller understanding of the process, please review the following:</w:t>
      </w:r>
    </w:p>
    <w:p w14:paraId="4BAA6720" w14:textId="77777777" w:rsidR="00313E07" w:rsidRPr="00313E07" w:rsidRDefault="00285C33" w:rsidP="00C81D6A">
      <w:pPr>
        <w:pStyle w:val="ListParagraph"/>
        <w:numPr>
          <w:ilvl w:val="0"/>
          <w:numId w:val="6"/>
        </w:numPr>
        <w:rPr>
          <w:rFonts w:ascii="Times New Roman" w:hAnsi="Times New Roman" w:cs="Times New Roman"/>
        </w:rPr>
      </w:pPr>
      <w:hyperlink r:id="rId9" w:history="1">
        <w:r w:rsidR="00313E07" w:rsidRPr="00EB6340">
          <w:rPr>
            <w:rStyle w:val="Hyperlink"/>
            <w:rFonts w:ascii="Times New Roman" w:hAnsi="Times New Roman" w:cs="Times New Roman"/>
          </w:rPr>
          <w:t>POL 05.15.03 – Non-Salary and Deferred Compensation</w:t>
        </w:r>
      </w:hyperlink>
    </w:p>
    <w:p w14:paraId="6343230B" w14:textId="77777777" w:rsidR="00B262EA" w:rsidRPr="009B21D9" w:rsidRDefault="00285C33" w:rsidP="00C81D6A">
      <w:pPr>
        <w:pStyle w:val="ListParagraph"/>
        <w:numPr>
          <w:ilvl w:val="0"/>
          <w:numId w:val="6"/>
        </w:numPr>
        <w:rPr>
          <w:rFonts w:ascii="Times New Roman" w:hAnsi="Times New Roman" w:cs="Times New Roman"/>
        </w:rPr>
      </w:pPr>
      <w:hyperlink r:id="rId10" w:history="1">
        <w:r w:rsidR="00B262EA" w:rsidRPr="009B21D9">
          <w:rPr>
            <w:rStyle w:val="Hyperlink"/>
            <w:rFonts w:ascii="Times New Roman" w:hAnsi="Times New Roman" w:cs="Times New Roman"/>
          </w:rPr>
          <w:t>University Controller’s Office Relocation Allowance Guidelines</w:t>
        </w:r>
      </w:hyperlink>
    </w:p>
    <w:p w14:paraId="21A456D5" w14:textId="77777777" w:rsidR="00B262EA" w:rsidRPr="009B21D9" w:rsidRDefault="00285C33" w:rsidP="00C81D6A">
      <w:pPr>
        <w:pStyle w:val="ListParagraph"/>
        <w:numPr>
          <w:ilvl w:val="0"/>
          <w:numId w:val="6"/>
        </w:numPr>
        <w:rPr>
          <w:rFonts w:ascii="Times New Roman" w:hAnsi="Times New Roman" w:cs="Times New Roman"/>
        </w:rPr>
      </w:pPr>
      <w:hyperlink r:id="rId11" w:history="1">
        <w:r w:rsidR="00B262EA" w:rsidRPr="009B21D9">
          <w:rPr>
            <w:rStyle w:val="Hyperlink"/>
            <w:rFonts w:ascii="Times New Roman" w:hAnsi="Times New Roman" w:cs="Times New Roman"/>
          </w:rPr>
          <w:t>University Controller’s Office Non-Salary Compensation</w:t>
        </w:r>
      </w:hyperlink>
    </w:p>
    <w:p w14:paraId="38A3EA31" w14:textId="77777777" w:rsidR="00D624A8" w:rsidRPr="009B21D9" w:rsidRDefault="00285C33" w:rsidP="00C81D6A">
      <w:pPr>
        <w:pStyle w:val="ListParagraph"/>
        <w:numPr>
          <w:ilvl w:val="0"/>
          <w:numId w:val="6"/>
        </w:numPr>
        <w:rPr>
          <w:rFonts w:ascii="Times New Roman" w:hAnsi="Times New Roman" w:cs="Times New Roman"/>
        </w:rPr>
      </w:pPr>
      <w:hyperlink r:id="rId12" w:history="1">
        <w:r w:rsidR="00B262EA" w:rsidRPr="009B21D9">
          <w:rPr>
            <w:rStyle w:val="Hyperlink"/>
            <w:rFonts w:ascii="Times New Roman" w:hAnsi="Times New Roman" w:cs="Times New Roman"/>
          </w:rPr>
          <w:t>Human Resources Non-Salary and Deferred Compensation</w:t>
        </w:r>
      </w:hyperlink>
    </w:p>
    <w:p w14:paraId="035C3837" w14:textId="77777777" w:rsidR="00600DDF" w:rsidRPr="009C3EC6" w:rsidRDefault="00600DDF" w:rsidP="00600DDF">
      <w:pPr>
        <w:rPr>
          <w:rFonts w:ascii="Times New Roman" w:hAnsi="Times New Roman" w:cs="Times New Roman"/>
          <w:b/>
        </w:rPr>
      </w:pPr>
      <w:r w:rsidRPr="009C3EC6">
        <w:rPr>
          <w:rFonts w:ascii="Times New Roman" w:hAnsi="Times New Roman" w:cs="Times New Roman"/>
          <w:b/>
        </w:rPr>
        <w:t xml:space="preserve">The steps </w:t>
      </w:r>
      <w:r w:rsidR="00927A82" w:rsidRPr="009C3EC6">
        <w:rPr>
          <w:rFonts w:ascii="Times New Roman" w:hAnsi="Times New Roman" w:cs="Times New Roman"/>
          <w:b/>
        </w:rPr>
        <w:t>in</w:t>
      </w:r>
      <w:r w:rsidRPr="009C3EC6">
        <w:rPr>
          <w:rFonts w:ascii="Times New Roman" w:hAnsi="Times New Roman" w:cs="Times New Roman"/>
          <w:b/>
        </w:rPr>
        <w:t xml:space="preserve"> our college process </w:t>
      </w:r>
      <w:r w:rsidR="00927A82" w:rsidRPr="009C3EC6">
        <w:rPr>
          <w:rFonts w:ascii="Times New Roman" w:hAnsi="Times New Roman" w:cs="Times New Roman"/>
          <w:b/>
        </w:rPr>
        <w:t>are</w:t>
      </w:r>
      <w:r w:rsidRPr="009C3EC6">
        <w:rPr>
          <w:rFonts w:ascii="Times New Roman" w:hAnsi="Times New Roman" w:cs="Times New Roman"/>
          <w:b/>
        </w:rPr>
        <w:t xml:space="preserve"> as follows:</w:t>
      </w:r>
    </w:p>
    <w:p w14:paraId="03E5445D" w14:textId="77777777" w:rsidR="00AF6983" w:rsidRPr="008C53A4" w:rsidRDefault="005E30A6" w:rsidP="005E30A6">
      <w:pPr>
        <w:rPr>
          <w:rFonts w:ascii="Times New Roman" w:hAnsi="Times New Roman" w:cs="Times New Roman"/>
        </w:rPr>
      </w:pPr>
      <w:r>
        <w:rPr>
          <w:rFonts w:ascii="Times New Roman" w:hAnsi="Times New Roman" w:cs="Times New Roman"/>
          <w:b/>
        </w:rPr>
        <w:t>Department or</w:t>
      </w:r>
      <w:r w:rsidR="006771CF" w:rsidRPr="006771CF">
        <w:rPr>
          <w:rFonts w:ascii="Times New Roman" w:hAnsi="Times New Roman" w:cs="Times New Roman"/>
          <w:b/>
        </w:rPr>
        <w:t xml:space="preserve"> Unit L</w:t>
      </w:r>
      <w:r>
        <w:rPr>
          <w:rFonts w:ascii="Times New Roman" w:hAnsi="Times New Roman" w:cs="Times New Roman"/>
          <w:b/>
        </w:rPr>
        <w:t>iaison with C</w:t>
      </w:r>
      <w:r w:rsidR="006771CF" w:rsidRPr="006771CF">
        <w:rPr>
          <w:rFonts w:ascii="Times New Roman" w:hAnsi="Times New Roman" w:cs="Times New Roman"/>
          <w:b/>
        </w:rPr>
        <w:t>ollege Financial and HR Services</w:t>
      </w:r>
      <w:r w:rsidR="00B33836" w:rsidRPr="008C53A4">
        <w:rPr>
          <w:rFonts w:ascii="Times New Roman" w:hAnsi="Times New Roman" w:cs="Times New Roman"/>
        </w:rPr>
        <w:t xml:space="preserve"> </w:t>
      </w:r>
      <w:r>
        <w:rPr>
          <w:rFonts w:ascii="Times New Roman" w:hAnsi="Times New Roman" w:cs="Times New Roman"/>
        </w:rPr>
        <w:t>will do the following:</w:t>
      </w:r>
    </w:p>
    <w:p w14:paraId="0D7C67F9" w14:textId="77777777" w:rsidR="005E30A6" w:rsidRDefault="005E30A6" w:rsidP="005E30A6">
      <w:pPr>
        <w:pStyle w:val="ListParagraph"/>
        <w:numPr>
          <w:ilvl w:val="0"/>
          <w:numId w:val="9"/>
        </w:numPr>
        <w:rPr>
          <w:rFonts w:ascii="Times New Roman" w:hAnsi="Times New Roman" w:cs="Times New Roman"/>
        </w:rPr>
      </w:pPr>
      <w:r>
        <w:rPr>
          <w:rFonts w:ascii="Times New Roman" w:hAnsi="Times New Roman" w:cs="Times New Roman"/>
        </w:rPr>
        <w:t>C</w:t>
      </w:r>
      <w:r w:rsidRPr="008C53A4">
        <w:rPr>
          <w:rFonts w:ascii="Times New Roman" w:hAnsi="Times New Roman" w:cs="Times New Roman"/>
        </w:rPr>
        <w:t xml:space="preserve">omplete the </w:t>
      </w:r>
      <w:hyperlink r:id="rId13" w:history="1">
        <w:r w:rsidRPr="008C53A4">
          <w:rPr>
            <w:rStyle w:val="Hyperlink"/>
            <w:rFonts w:ascii="Times New Roman" w:hAnsi="Times New Roman" w:cs="Times New Roman"/>
          </w:rPr>
          <w:t>Non-Salary and Deferred Compensation Form</w:t>
        </w:r>
      </w:hyperlink>
      <w:r w:rsidRPr="008C53A4">
        <w:rPr>
          <w:rFonts w:ascii="Times New Roman" w:hAnsi="Times New Roman" w:cs="Times New Roman"/>
        </w:rPr>
        <w:t xml:space="preserve"> </w:t>
      </w:r>
      <w:r>
        <w:rPr>
          <w:rFonts w:ascii="Times New Roman" w:hAnsi="Times New Roman" w:cs="Times New Roman"/>
        </w:rPr>
        <w:t xml:space="preserve">(NSDC) </w:t>
      </w:r>
      <w:r w:rsidRPr="008C53A4">
        <w:rPr>
          <w:rFonts w:ascii="Times New Roman" w:hAnsi="Times New Roman" w:cs="Times New Roman"/>
        </w:rPr>
        <w:t>when submittin</w:t>
      </w:r>
      <w:r>
        <w:rPr>
          <w:rFonts w:ascii="Times New Roman" w:hAnsi="Times New Roman" w:cs="Times New Roman"/>
        </w:rPr>
        <w:t xml:space="preserve">g the </w:t>
      </w:r>
      <w:r w:rsidR="001E79A0">
        <w:rPr>
          <w:rFonts w:ascii="Times New Roman" w:hAnsi="Times New Roman" w:cs="Times New Roman"/>
        </w:rPr>
        <w:t>Offer Letter Request Form</w:t>
      </w:r>
      <w:r>
        <w:rPr>
          <w:rFonts w:ascii="Times New Roman" w:hAnsi="Times New Roman" w:cs="Times New Roman"/>
        </w:rPr>
        <w:t xml:space="preserve"> for an eligible EHRA </w:t>
      </w:r>
      <w:r w:rsidRPr="008C53A4">
        <w:rPr>
          <w:rFonts w:ascii="Times New Roman" w:hAnsi="Times New Roman" w:cs="Times New Roman"/>
        </w:rPr>
        <w:t>hire that will include a relocation allowance</w:t>
      </w:r>
    </w:p>
    <w:p w14:paraId="78AD7A2B" w14:textId="77777777" w:rsidR="009C3EC6" w:rsidRPr="00E13E68" w:rsidRDefault="00B10614" w:rsidP="005E30A6">
      <w:pPr>
        <w:pStyle w:val="ListParagraph"/>
        <w:numPr>
          <w:ilvl w:val="0"/>
          <w:numId w:val="10"/>
        </w:numPr>
        <w:rPr>
          <w:rFonts w:ascii="Times New Roman" w:hAnsi="Times New Roman" w:cs="Times New Roman"/>
        </w:rPr>
      </w:pPr>
      <w:r w:rsidRPr="00E13E68">
        <w:rPr>
          <w:rFonts w:ascii="Times New Roman" w:hAnsi="Times New Roman" w:cs="Times New Roman"/>
        </w:rPr>
        <w:t>Enter the college</w:t>
      </w:r>
      <w:r w:rsidR="009C3EC6" w:rsidRPr="00E13E68">
        <w:rPr>
          <w:rFonts w:ascii="Times New Roman" w:hAnsi="Times New Roman" w:cs="Times New Roman"/>
        </w:rPr>
        <w:t xml:space="preserve">, </w:t>
      </w:r>
      <w:r w:rsidRPr="00E13E68">
        <w:rPr>
          <w:rFonts w:ascii="Times New Roman" w:hAnsi="Times New Roman" w:cs="Times New Roman"/>
        </w:rPr>
        <w:t>department</w:t>
      </w:r>
      <w:r w:rsidR="009C3EC6" w:rsidRPr="00E13E68">
        <w:rPr>
          <w:rFonts w:ascii="Times New Roman" w:hAnsi="Times New Roman" w:cs="Times New Roman"/>
        </w:rPr>
        <w:t>, employee name, position #, and title.</w:t>
      </w:r>
    </w:p>
    <w:p w14:paraId="3234C519" w14:textId="77777777" w:rsidR="009C3EC6" w:rsidRPr="00E13E68" w:rsidRDefault="009C3EC6" w:rsidP="005E30A6">
      <w:pPr>
        <w:pStyle w:val="ListParagraph"/>
        <w:numPr>
          <w:ilvl w:val="0"/>
          <w:numId w:val="10"/>
        </w:numPr>
        <w:rPr>
          <w:rFonts w:ascii="Times New Roman" w:hAnsi="Times New Roman" w:cs="Times New Roman"/>
        </w:rPr>
      </w:pPr>
      <w:r w:rsidRPr="00E13E68">
        <w:rPr>
          <w:rFonts w:ascii="Times New Roman" w:hAnsi="Times New Roman" w:cs="Times New Roman"/>
        </w:rPr>
        <w:t>L</w:t>
      </w:r>
      <w:r w:rsidR="00982D86" w:rsidRPr="00E13E68">
        <w:rPr>
          <w:rFonts w:ascii="Times New Roman" w:hAnsi="Times New Roman" w:cs="Times New Roman"/>
        </w:rPr>
        <w:t xml:space="preserve">ist the </w:t>
      </w:r>
      <w:r w:rsidR="006771CF">
        <w:rPr>
          <w:rFonts w:ascii="Times New Roman" w:hAnsi="Times New Roman" w:cs="Times New Roman"/>
        </w:rPr>
        <w:t xml:space="preserve">appropriate team member in </w:t>
      </w:r>
      <w:r w:rsidR="00287D2C">
        <w:rPr>
          <w:rFonts w:ascii="Times New Roman" w:hAnsi="Times New Roman" w:cs="Times New Roman"/>
        </w:rPr>
        <w:t>c</w:t>
      </w:r>
      <w:r w:rsidR="006771CF">
        <w:rPr>
          <w:rFonts w:ascii="Times New Roman" w:hAnsi="Times New Roman" w:cs="Times New Roman"/>
        </w:rPr>
        <w:t xml:space="preserve">ollege HR Services </w:t>
      </w:r>
      <w:r w:rsidR="00982D86" w:rsidRPr="00E13E68">
        <w:rPr>
          <w:rFonts w:ascii="Times New Roman" w:hAnsi="Times New Roman" w:cs="Times New Roman"/>
        </w:rPr>
        <w:t xml:space="preserve">as the College Contact and provide </w:t>
      </w:r>
      <w:r w:rsidR="00287D2C">
        <w:rPr>
          <w:rFonts w:ascii="Times New Roman" w:hAnsi="Times New Roman" w:cs="Times New Roman"/>
        </w:rPr>
        <w:t>her/his</w:t>
      </w:r>
      <w:r w:rsidR="00982D86" w:rsidRPr="00E13E68">
        <w:rPr>
          <w:rFonts w:ascii="Times New Roman" w:hAnsi="Times New Roman" w:cs="Times New Roman"/>
        </w:rPr>
        <w:t xml:space="preserve"> phone # and email.</w:t>
      </w:r>
    </w:p>
    <w:p w14:paraId="2D7A2521" w14:textId="77777777" w:rsidR="009C3EC6" w:rsidRPr="00E13E68" w:rsidRDefault="00B10614" w:rsidP="005E30A6">
      <w:pPr>
        <w:pStyle w:val="ListParagraph"/>
        <w:numPr>
          <w:ilvl w:val="0"/>
          <w:numId w:val="10"/>
        </w:numPr>
        <w:rPr>
          <w:rFonts w:ascii="Times New Roman" w:hAnsi="Times New Roman" w:cs="Times New Roman"/>
        </w:rPr>
      </w:pPr>
      <w:r w:rsidRPr="00E13E68">
        <w:rPr>
          <w:rFonts w:ascii="Times New Roman" w:hAnsi="Times New Roman" w:cs="Times New Roman"/>
        </w:rPr>
        <w:t xml:space="preserve">Leave the employee ID blank to be completed later by </w:t>
      </w:r>
      <w:r w:rsidR="008C53A4">
        <w:rPr>
          <w:rFonts w:ascii="Times New Roman" w:hAnsi="Times New Roman" w:cs="Times New Roman"/>
        </w:rPr>
        <w:t>college HR Services</w:t>
      </w:r>
      <w:r w:rsidR="00625390" w:rsidRPr="00E13E68">
        <w:rPr>
          <w:rFonts w:ascii="Times New Roman" w:hAnsi="Times New Roman" w:cs="Times New Roman"/>
        </w:rPr>
        <w:t xml:space="preserve"> (unless this is a previous employee who already has an employee ID)</w:t>
      </w:r>
      <w:r w:rsidRPr="00E13E68">
        <w:rPr>
          <w:rFonts w:ascii="Times New Roman" w:hAnsi="Times New Roman" w:cs="Times New Roman"/>
        </w:rPr>
        <w:t xml:space="preserve">.  </w:t>
      </w:r>
    </w:p>
    <w:p w14:paraId="41EF1CAF" w14:textId="77777777" w:rsidR="009C3EC6" w:rsidRPr="00287D2C" w:rsidRDefault="009C3EC6" w:rsidP="005E30A6">
      <w:pPr>
        <w:pStyle w:val="ListParagraph"/>
        <w:numPr>
          <w:ilvl w:val="0"/>
          <w:numId w:val="10"/>
        </w:numPr>
        <w:rPr>
          <w:rFonts w:ascii="Times New Roman" w:hAnsi="Times New Roman" w:cs="Times New Roman"/>
        </w:rPr>
      </w:pPr>
      <w:r w:rsidRPr="00287D2C">
        <w:rPr>
          <w:rFonts w:ascii="Times New Roman" w:hAnsi="Times New Roman" w:cs="Times New Roman"/>
        </w:rPr>
        <w:t xml:space="preserve">Enter the flat amount in the </w:t>
      </w:r>
      <w:r w:rsidR="00B10614" w:rsidRPr="00287D2C">
        <w:rPr>
          <w:rFonts w:ascii="Times New Roman" w:hAnsi="Times New Roman" w:cs="Times New Roman"/>
        </w:rPr>
        <w:t>Reloc</w:t>
      </w:r>
      <w:r w:rsidRPr="00287D2C">
        <w:rPr>
          <w:rFonts w:ascii="Times New Roman" w:hAnsi="Times New Roman" w:cs="Times New Roman"/>
        </w:rPr>
        <w:t>ation Allowance section</w:t>
      </w:r>
      <w:r w:rsidR="00F649EB" w:rsidRPr="00287D2C">
        <w:rPr>
          <w:rFonts w:ascii="Times New Roman" w:hAnsi="Times New Roman" w:cs="Times New Roman"/>
        </w:rPr>
        <w:t xml:space="preserve">.  </w:t>
      </w:r>
      <w:r w:rsidR="00982D86" w:rsidRPr="00287D2C">
        <w:rPr>
          <w:rFonts w:ascii="Times New Roman" w:hAnsi="Times New Roman" w:cs="Times New Roman"/>
        </w:rPr>
        <w:t>Do not request installments.</w:t>
      </w:r>
    </w:p>
    <w:p w14:paraId="0D2C3A2C" w14:textId="77777777" w:rsidR="0042194A" w:rsidRPr="00287D2C" w:rsidRDefault="0042194A" w:rsidP="005E30A6">
      <w:pPr>
        <w:pStyle w:val="ListParagraph"/>
        <w:numPr>
          <w:ilvl w:val="0"/>
          <w:numId w:val="10"/>
        </w:numPr>
        <w:rPr>
          <w:rFonts w:ascii="Times New Roman" w:hAnsi="Times New Roman" w:cs="Times New Roman"/>
        </w:rPr>
      </w:pPr>
      <w:r w:rsidRPr="00287D2C">
        <w:rPr>
          <w:rFonts w:ascii="Times New Roman" w:hAnsi="Times New Roman" w:cs="Times New Roman"/>
        </w:rPr>
        <w:t xml:space="preserve">To the right of the amount, indicate the departmental discretionary project # to be used for T/TT faculty </w:t>
      </w:r>
      <w:r w:rsidR="008C53A4" w:rsidRPr="00287D2C">
        <w:rPr>
          <w:rFonts w:ascii="Times New Roman" w:hAnsi="Times New Roman" w:cs="Times New Roman"/>
        </w:rPr>
        <w:t>for payment greater than</w:t>
      </w:r>
      <w:r w:rsidRPr="00287D2C">
        <w:rPr>
          <w:rFonts w:ascii="Times New Roman" w:hAnsi="Times New Roman" w:cs="Times New Roman"/>
        </w:rPr>
        <w:t xml:space="preserve"> $3,000 and for</w:t>
      </w:r>
      <w:r w:rsidR="006771CF" w:rsidRPr="00287D2C">
        <w:rPr>
          <w:rFonts w:ascii="Times New Roman" w:hAnsi="Times New Roman" w:cs="Times New Roman"/>
        </w:rPr>
        <w:t xml:space="preserve"> the</w:t>
      </w:r>
      <w:r w:rsidRPr="00287D2C">
        <w:rPr>
          <w:rFonts w:ascii="Times New Roman" w:hAnsi="Times New Roman" w:cs="Times New Roman"/>
        </w:rPr>
        <w:t xml:space="preserve"> full payment to all other </w:t>
      </w:r>
      <w:r w:rsidR="00801170">
        <w:rPr>
          <w:rFonts w:ascii="Times New Roman" w:hAnsi="Times New Roman" w:cs="Times New Roman"/>
        </w:rPr>
        <w:t xml:space="preserve">EHRA </w:t>
      </w:r>
      <w:r w:rsidRPr="00287D2C">
        <w:rPr>
          <w:rFonts w:ascii="Times New Roman" w:hAnsi="Times New Roman" w:cs="Times New Roman"/>
        </w:rPr>
        <w:t xml:space="preserve">employee types.  </w:t>
      </w:r>
      <w:r w:rsidR="006771CF" w:rsidRPr="00287D2C">
        <w:rPr>
          <w:rFonts w:ascii="Times New Roman" w:hAnsi="Times New Roman" w:cs="Times New Roman"/>
        </w:rPr>
        <w:t>You do not need to</w:t>
      </w:r>
      <w:r w:rsidR="008C53A4" w:rsidRPr="00287D2C">
        <w:rPr>
          <w:rFonts w:ascii="Times New Roman" w:hAnsi="Times New Roman" w:cs="Times New Roman"/>
        </w:rPr>
        <w:t xml:space="preserve"> provide a project # for T/TT </w:t>
      </w:r>
      <w:r w:rsidRPr="00287D2C">
        <w:rPr>
          <w:rFonts w:ascii="Times New Roman" w:hAnsi="Times New Roman" w:cs="Times New Roman"/>
        </w:rPr>
        <w:t xml:space="preserve">faculty </w:t>
      </w:r>
      <w:r w:rsidR="008C53A4" w:rsidRPr="00287D2C">
        <w:rPr>
          <w:rFonts w:ascii="Times New Roman" w:hAnsi="Times New Roman" w:cs="Times New Roman"/>
        </w:rPr>
        <w:t>for payments up to $3,000.</w:t>
      </w:r>
    </w:p>
    <w:p w14:paraId="74C0603B" w14:textId="77777777" w:rsidR="009C3EC6" w:rsidRDefault="00735CD0" w:rsidP="005E30A6">
      <w:pPr>
        <w:pStyle w:val="ListParagraph"/>
        <w:numPr>
          <w:ilvl w:val="0"/>
          <w:numId w:val="10"/>
        </w:numPr>
        <w:rPr>
          <w:rFonts w:ascii="Times New Roman" w:hAnsi="Times New Roman" w:cs="Times New Roman"/>
        </w:rPr>
      </w:pPr>
      <w:r w:rsidRPr="009C3EC6">
        <w:rPr>
          <w:rFonts w:ascii="Times New Roman" w:hAnsi="Times New Roman" w:cs="Times New Roman"/>
        </w:rPr>
        <w:t xml:space="preserve">Indicate the proposed date </w:t>
      </w:r>
      <w:r w:rsidR="00801170">
        <w:rPr>
          <w:rFonts w:ascii="Times New Roman" w:hAnsi="Times New Roman" w:cs="Times New Roman"/>
        </w:rPr>
        <w:t xml:space="preserve">for payment </w:t>
      </w:r>
      <w:r w:rsidRPr="009C3EC6">
        <w:rPr>
          <w:rFonts w:ascii="Times New Roman" w:hAnsi="Times New Roman" w:cs="Times New Roman"/>
        </w:rPr>
        <w:t xml:space="preserve">as the </w:t>
      </w:r>
      <w:r w:rsidR="00F649EB" w:rsidRPr="009C3EC6">
        <w:rPr>
          <w:rFonts w:ascii="Times New Roman" w:hAnsi="Times New Roman" w:cs="Times New Roman"/>
        </w:rPr>
        <w:t>Begin Date</w:t>
      </w:r>
      <w:r w:rsidR="006771CF">
        <w:rPr>
          <w:rFonts w:ascii="Times New Roman" w:hAnsi="Times New Roman" w:cs="Times New Roman"/>
        </w:rPr>
        <w:t xml:space="preserve">.  </w:t>
      </w:r>
      <w:r w:rsidR="006F2FFE" w:rsidRPr="009C3EC6">
        <w:rPr>
          <w:rFonts w:ascii="Times New Roman" w:hAnsi="Times New Roman" w:cs="Times New Roman"/>
        </w:rPr>
        <w:t xml:space="preserve">Each department will determine the </w:t>
      </w:r>
      <w:r w:rsidR="006771CF">
        <w:rPr>
          <w:rFonts w:ascii="Times New Roman" w:hAnsi="Times New Roman" w:cs="Times New Roman"/>
        </w:rPr>
        <w:t xml:space="preserve">payment date </w:t>
      </w:r>
      <w:r w:rsidR="006F2FFE" w:rsidRPr="009C3EC6">
        <w:rPr>
          <w:rFonts w:ascii="Times New Roman" w:hAnsi="Times New Roman" w:cs="Times New Roman"/>
        </w:rPr>
        <w:t xml:space="preserve">based on </w:t>
      </w:r>
      <w:r w:rsidR="00801170">
        <w:rPr>
          <w:rFonts w:ascii="Times New Roman" w:hAnsi="Times New Roman" w:cs="Times New Roman"/>
        </w:rPr>
        <w:t xml:space="preserve">their </w:t>
      </w:r>
      <w:r w:rsidR="0044551D" w:rsidRPr="009C3EC6">
        <w:rPr>
          <w:rFonts w:ascii="Times New Roman" w:hAnsi="Times New Roman" w:cs="Times New Roman"/>
        </w:rPr>
        <w:t>level of</w:t>
      </w:r>
      <w:r w:rsidR="006F2FFE" w:rsidRPr="009C3EC6">
        <w:rPr>
          <w:rFonts w:ascii="Times New Roman" w:hAnsi="Times New Roman" w:cs="Times New Roman"/>
        </w:rPr>
        <w:t xml:space="preserve"> comfort with paying prior to arrival</w:t>
      </w:r>
      <w:r w:rsidR="00F649EB" w:rsidRPr="009C3EC6">
        <w:rPr>
          <w:rFonts w:ascii="Times New Roman" w:hAnsi="Times New Roman" w:cs="Times New Roman"/>
        </w:rPr>
        <w:t>.</w:t>
      </w:r>
      <w:r w:rsidR="006F2FFE" w:rsidRPr="009C3EC6">
        <w:rPr>
          <w:rFonts w:ascii="Times New Roman" w:hAnsi="Times New Roman" w:cs="Times New Roman"/>
        </w:rPr>
        <w:t xml:space="preserve"> </w:t>
      </w:r>
    </w:p>
    <w:p w14:paraId="1338A4C2" w14:textId="77777777" w:rsidR="00F649EB" w:rsidRDefault="00A50A84" w:rsidP="005E30A6">
      <w:pPr>
        <w:pStyle w:val="ListParagraph"/>
        <w:numPr>
          <w:ilvl w:val="0"/>
          <w:numId w:val="10"/>
        </w:numPr>
        <w:rPr>
          <w:rFonts w:ascii="Times New Roman" w:hAnsi="Times New Roman" w:cs="Times New Roman"/>
        </w:rPr>
      </w:pPr>
      <w:r w:rsidRPr="009C3EC6">
        <w:rPr>
          <w:rFonts w:ascii="Times New Roman" w:hAnsi="Times New Roman" w:cs="Times New Roman"/>
        </w:rPr>
        <w:t>Leave End Date blank</w:t>
      </w:r>
      <w:r w:rsidR="0070300A">
        <w:rPr>
          <w:rFonts w:ascii="Times New Roman" w:hAnsi="Times New Roman" w:cs="Times New Roman"/>
        </w:rPr>
        <w:t xml:space="preserve"> and do not complete any other sections of the form.</w:t>
      </w:r>
    </w:p>
    <w:p w14:paraId="7F155A8C" w14:textId="77777777" w:rsidR="005E30A6" w:rsidRDefault="0070300A" w:rsidP="005E30A6">
      <w:pPr>
        <w:pStyle w:val="ListParagraph"/>
        <w:numPr>
          <w:ilvl w:val="0"/>
          <w:numId w:val="9"/>
        </w:numPr>
        <w:rPr>
          <w:rFonts w:ascii="Times New Roman" w:hAnsi="Times New Roman" w:cs="Times New Roman"/>
        </w:rPr>
      </w:pPr>
      <w:r>
        <w:rPr>
          <w:rFonts w:ascii="Times New Roman" w:hAnsi="Times New Roman" w:cs="Times New Roman"/>
        </w:rPr>
        <w:t xml:space="preserve">Obtain </w:t>
      </w:r>
      <w:r w:rsidR="00801170">
        <w:rPr>
          <w:rFonts w:ascii="Times New Roman" w:hAnsi="Times New Roman" w:cs="Times New Roman"/>
        </w:rPr>
        <w:t>the signature of the Head or other unit leader.</w:t>
      </w:r>
    </w:p>
    <w:p w14:paraId="713FB646" w14:textId="11CE409F" w:rsidR="005E30A6" w:rsidRPr="005E30A6" w:rsidRDefault="005E30A6" w:rsidP="005E30A6">
      <w:pPr>
        <w:pStyle w:val="ListParagraph"/>
        <w:numPr>
          <w:ilvl w:val="0"/>
          <w:numId w:val="9"/>
        </w:numPr>
        <w:rPr>
          <w:rFonts w:ascii="Times New Roman" w:hAnsi="Times New Roman" w:cs="Times New Roman"/>
        </w:rPr>
      </w:pPr>
      <w:r>
        <w:rPr>
          <w:rFonts w:ascii="Times New Roman" w:hAnsi="Times New Roman" w:cs="Times New Roman"/>
        </w:rPr>
        <w:t>U</w:t>
      </w:r>
      <w:r w:rsidR="0070300A">
        <w:rPr>
          <w:rFonts w:ascii="Times New Roman" w:hAnsi="Times New Roman" w:cs="Times New Roman"/>
        </w:rPr>
        <w:t>pload</w:t>
      </w:r>
      <w:r w:rsidR="009C3EC6">
        <w:rPr>
          <w:rFonts w:ascii="Times New Roman" w:hAnsi="Times New Roman" w:cs="Times New Roman"/>
        </w:rPr>
        <w:t xml:space="preserve"> a scanned copy of the </w:t>
      </w:r>
      <w:r w:rsidR="00801170">
        <w:rPr>
          <w:rFonts w:ascii="Times New Roman" w:hAnsi="Times New Roman" w:cs="Times New Roman"/>
        </w:rPr>
        <w:t>NSDC</w:t>
      </w:r>
      <w:r w:rsidR="00F649EB" w:rsidRPr="00F63689">
        <w:rPr>
          <w:rFonts w:ascii="Times New Roman" w:hAnsi="Times New Roman" w:cs="Times New Roman"/>
        </w:rPr>
        <w:t xml:space="preserve"> </w:t>
      </w:r>
      <w:r w:rsidR="002A534C" w:rsidRPr="00F63689">
        <w:rPr>
          <w:rFonts w:ascii="Times New Roman" w:hAnsi="Times New Roman" w:cs="Times New Roman"/>
        </w:rPr>
        <w:t xml:space="preserve">via </w:t>
      </w:r>
      <w:r w:rsidR="00A57195">
        <w:rPr>
          <w:rFonts w:ascii="Times New Roman" w:hAnsi="Times New Roman" w:cs="Times New Roman"/>
        </w:rPr>
        <w:t>the Personnel Request</w:t>
      </w:r>
      <w:r w:rsidR="002A534C" w:rsidRPr="00F63689">
        <w:rPr>
          <w:rFonts w:ascii="Times New Roman" w:hAnsi="Times New Roman" w:cs="Times New Roman"/>
        </w:rPr>
        <w:t xml:space="preserve"> </w:t>
      </w:r>
      <w:r w:rsidR="0070300A">
        <w:rPr>
          <w:rFonts w:ascii="Times New Roman" w:hAnsi="Times New Roman" w:cs="Times New Roman"/>
        </w:rPr>
        <w:t>when submitt</w:t>
      </w:r>
      <w:r w:rsidR="00731581">
        <w:rPr>
          <w:rFonts w:ascii="Times New Roman" w:hAnsi="Times New Roman" w:cs="Times New Roman"/>
        </w:rPr>
        <w:t>ing</w:t>
      </w:r>
      <w:r w:rsidR="0070300A">
        <w:rPr>
          <w:rFonts w:ascii="Times New Roman" w:hAnsi="Times New Roman" w:cs="Times New Roman"/>
        </w:rPr>
        <w:t xml:space="preserve"> the </w:t>
      </w:r>
      <w:r w:rsidR="001E79A0">
        <w:rPr>
          <w:rFonts w:ascii="Times New Roman" w:hAnsi="Times New Roman" w:cs="Times New Roman"/>
        </w:rPr>
        <w:t>Offer Letter Request Form</w:t>
      </w:r>
      <w:r w:rsidR="00A50A84" w:rsidRPr="00F63689">
        <w:rPr>
          <w:rFonts w:ascii="Times New Roman" w:hAnsi="Times New Roman" w:cs="Times New Roman"/>
        </w:rPr>
        <w:t>.</w:t>
      </w:r>
    </w:p>
    <w:p w14:paraId="3440A0BA" w14:textId="77777777" w:rsidR="005E30A6" w:rsidRPr="005E30A6" w:rsidRDefault="005E30A6" w:rsidP="00C079ED">
      <w:pPr>
        <w:rPr>
          <w:rFonts w:ascii="Times New Roman" w:hAnsi="Times New Roman" w:cs="Times New Roman"/>
        </w:rPr>
      </w:pPr>
      <w:r w:rsidRPr="005E30A6">
        <w:rPr>
          <w:rFonts w:ascii="Times New Roman" w:hAnsi="Times New Roman" w:cs="Times New Roman"/>
          <w:b/>
        </w:rPr>
        <w:t>College HR Services</w:t>
      </w:r>
      <w:r w:rsidRPr="005E30A6">
        <w:rPr>
          <w:rFonts w:ascii="Times New Roman" w:hAnsi="Times New Roman" w:cs="Times New Roman"/>
        </w:rPr>
        <w:t xml:space="preserve"> will do the following:</w:t>
      </w:r>
    </w:p>
    <w:p w14:paraId="2E62DECE" w14:textId="77777777" w:rsidR="005E30A6" w:rsidRDefault="005E30A6" w:rsidP="005E30A6">
      <w:pPr>
        <w:pStyle w:val="ListParagraph"/>
        <w:numPr>
          <w:ilvl w:val="0"/>
          <w:numId w:val="9"/>
        </w:numPr>
        <w:rPr>
          <w:rFonts w:ascii="Times New Roman" w:hAnsi="Times New Roman" w:cs="Times New Roman"/>
        </w:rPr>
      </w:pPr>
      <w:r>
        <w:rPr>
          <w:rFonts w:ascii="Times New Roman" w:hAnsi="Times New Roman" w:cs="Times New Roman"/>
        </w:rPr>
        <w:t>O</w:t>
      </w:r>
      <w:r w:rsidRPr="009B21D9">
        <w:rPr>
          <w:rFonts w:ascii="Times New Roman" w:hAnsi="Times New Roman" w:cs="Times New Roman"/>
        </w:rPr>
        <w:t>btain</w:t>
      </w:r>
      <w:r>
        <w:rPr>
          <w:rFonts w:ascii="Times New Roman" w:hAnsi="Times New Roman" w:cs="Times New Roman"/>
        </w:rPr>
        <w:t xml:space="preserve"> the</w:t>
      </w:r>
      <w:r w:rsidRPr="009B21D9">
        <w:rPr>
          <w:rFonts w:ascii="Times New Roman" w:hAnsi="Times New Roman" w:cs="Times New Roman"/>
        </w:rPr>
        <w:t xml:space="preserve"> Dean’s </w:t>
      </w:r>
      <w:r>
        <w:rPr>
          <w:rFonts w:ascii="Times New Roman" w:hAnsi="Times New Roman" w:cs="Times New Roman"/>
        </w:rPr>
        <w:t>signature</w:t>
      </w:r>
      <w:r w:rsidRPr="009B21D9">
        <w:rPr>
          <w:rFonts w:ascii="Times New Roman" w:hAnsi="Times New Roman" w:cs="Times New Roman"/>
        </w:rPr>
        <w:t xml:space="preserve"> </w:t>
      </w:r>
      <w:r>
        <w:rPr>
          <w:rFonts w:ascii="Times New Roman" w:hAnsi="Times New Roman" w:cs="Times New Roman"/>
        </w:rPr>
        <w:t>on</w:t>
      </w:r>
      <w:r w:rsidRPr="009B21D9">
        <w:rPr>
          <w:rFonts w:ascii="Times New Roman" w:hAnsi="Times New Roman" w:cs="Times New Roman"/>
        </w:rPr>
        <w:t xml:space="preserve"> the </w:t>
      </w:r>
      <w:r w:rsidR="00C079ED">
        <w:rPr>
          <w:rFonts w:ascii="Times New Roman" w:hAnsi="Times New Roman" w:cs="Times New Roman"/>
        </w:rPr>
        <w:t>NSDC</w:t>
      </w:r>
      <w:r>
        <w:rPr>
          <w:rFonts w:ascii="Times New Roman" w:hAnsi="Times New Roman" w:cs="Times New Roman"/>
        </w:rPr>
        <w:t>.</w:t>
      </w:r>
    </w:p>
    <w:p w14:paraId="220A5982" w14:textId="77777777" w:rsidR="00C079ED" w:rsidRDefault="005E30A6" w:rsidP="00C079ED">
      <w:pPr>
        <w:pStyle w:val="ListParagraph"/>
        <w:numPr>
          <w:ilvl w:val="0"/>
          <w:numId w:val="9"/>
        </w:numPr>
        <w:rPr>
          <w:rFonts w:ascii="Times New Roman" w:hAnsi="Times New Roman" w:cs="Times New Roman"/>
        </w:rPr>
      </w:pPr>
      <w:r w:rsidRPr="005E30A6">
        <w:rPr>
          <w:rFonts w:ascii="Times New Roman" w:hAnsi="Times New Roman" w:cs="Times New Roman"/>
        </w:rPr>
        <w:t xml:space="preserve">Submit the NSDC to University HR and </w:t>
      </w:r>
      <w:r w:rsidR="001E79A0">
        <w:rPr>
          <w:rFonts w:ascii="Times New Roman" w:hAnsi="Times New Roman" w:cs="Times New Roman"/>
        </w:rPr>
        <w:t>obtain UHR signature of approval</w:t>
      </w:r>
      <w:r w:rsidRPr="005E30A6">
        <w:rPr>
          <w:rFonts w:ascii="Times New Roman" w:hAnsi="Times New Roman" w:cs="Times New Roman"/>
        </w:rPr>
        <w:t>.</w:t>
      </w:r>
    </w:p>
    <w:p w14:paraId="02188D72" w14:textId="77777777" w:rsidR="00C079ED" w:rsidRDefault="005E30A6" w:rsidP="00C079ED">
      <w:pPr>
        <w:pStyle w:val="ListParagraph"/>
        <w:numPr>
          <w:ilvl w:val="0"/>
          <w:numId w:val="9"/>
        </w:numPr>
        <w:rPr>
          <w:rFonts w:ascii="Times New Roman" w:hAnsi="Times New Roman" w:cs="Times New Roman"/>
        </w:rPr>
      </w:pPr>
      <w:r w:rsidRPr="00C079ED">
        <w:rPr>
          <w:rFonts w:ascii="Times New Roman" w:hAnsi="Times New Roman" w:cs="Times New Roman"/>
        </w:rPr>
        <w:t>Ensure the relocation amount in the offer letters matches the amount approved on the NSDC.</w:t>
      </w:r>
    </w:p>
    <w:p w14:paraId="02F71141" w14:textId="77777777" w:rsidR="005E30A6" w:rsidRDefault="005E30A6" w:rsidP="00C079ED">
      <w:pPr>
        <w:pStyle w:val="ListParagraph"/>
        <w:numPr>
          <w:ilvl w:val="0"/>
          <w:numId w:val="9"/>
        </w:numPr>
        <w:rPr>
          <w:rFonts w:ascii="Times New Roman" w:hAnsi="Times New Roman" w:cs="Times New Roman"/>
        </w:rPr>
      </w:pPr>
      <w:r w:rsidRPr="00C079ED">
        <w:rPr>
          <w:rFonts w:ascii="Times New Roman" w:hAnsi="Times New Roman" w:cs="Times New Roman"/>
        </w:rPr>
        <w:t xml:space="preserve">Include the approved language regarding the relocation allowance in the offer as follows:  </w:t>
      </w:r>
    </w:p>
    <w:p w14:paraId="5B5D9EFD" w14:textId="77777777" w:rsidR="00C079ED" w:rsidRPr="00C079ED" w:rsidRDefault="00C079ED" w:rsidP="00C079ED">
      <w:pPr>
        <w:pStyle w:val="ListParagraph"/>
        <w:rPr>
          <w:rFonts w:ascii="Times New Roman" w:hAnsi="Times New Roman" w:cs="Times New Roman"/>
        </w:rPr>
      </w:pPr>
    </w:p>
    <w:p w14:paraId="31A93F7A" w14:textId="77777777" w:rsidR="005E30A6" w:rsidRPr="00C079ED" w:rsidRDefault="005E30A6" w:rsidP="00C079ED">
      <w:pPr>
        <w:pStyle w:val="ListParagraph"/>
        <w:ind w:left="1440"/>
        <w:rPr>
          <w:rFonts w:ascii="Times New Roman" w:hAnsi="Times New Roman" w:cs="Times New Roman"/>
          <w:i/>
        </w:rPr>
      </w:pPr>
      <w:r w:rsidRPr="00C079ED">
        <w:rPr>
          <w:rFonts w:ascii="Times New Roman" w:hAnsi="Times New Roman" w:cs="Times New Roman"/>
          <w:i/>
        </w:rPr>
        <w:t>The College/Department will provide moving expenses (i.e. house hunting, household moving and temporary housing expenses) for relocation to North Carolina, in the amount of $</w:t>
      </w:r>
      <w:r w:rsidR="00801170">
        <w:rPr>
          <w:rFonts w:ascii="Times New Roman" w:hAnsi="Times New Roman" w:cs="Times New Roman"/>
          <w:i/>
        </w:rPr>
        <w:t>(insert amount)</w:t>
      </w:r>
      <w:r w:rsidRPr="00C079ED">
        <w:rPr>
          <w:rFonts w:ascii="Times New Roman" w:hAnsi="Times New Roman" w:cs="Times New Roman"/>
          <w:i/>
        </w:rPr>
        <w:t xml:space="preserve">.  In accordance with IRS tax rules, relocation allowances are fully taxable to the employee and are subject to applicable payroll tax withholding. If you have questions regarding IRS tax rules related to your relocation allowance, please contact your own tax, legal and accounting advisers before signing this employment agreement. Please be advised that you will not be required to provide receipts for this lump sum relocation allowance in accordance with NC State Policy 05.15.03- Non-Salary and Deferred Compensation. The University will not be responsible for relocation expenses that exceed the amount approved as part of this employment agreement. Your department will direct you to </w:t>
      </w:r>
      <w:r w:rsidR="00C079ED" w:rsidRPr="00C079ED">
        <w:rPr>
          <w:rFonts w:ascii="Times New Roman" w:hAnsi="Times New Roman" w:cs="Times New Roman"/>
          <w:i/>
        </w:rPr>
        <w:t xml:space="preserve">a system used </w:t>
      </w:r>
      <w:r w:rsidRPr="00C079ED">
        <w:rPr>
          <w:rFonts w:ascii="Times New Roman" w:hAnsi="Times New Roman" w:cs="Times New Roman"/>
          <w:i/>
        </w:rPr>
        <w:t xml:space="preserve">to </w:t>
      </w:r>
      <w:r w:rsidR="00C079ED" w:rsidRPr="00C079ED">
        <w:rPr>
          <w:rFonts w:ascii="Times New Roman" w:hAnsi="Times New Roman" w:cs="Times New Roman"/>
          <w:i/>
        </w:rPr>
        <w:t>collect</w:t>
      </w:r>
      <w:r w:rsidRPr="00C079ED">
        <w:rPr>
          <w:rFonts w:ascii="Times New Roman" w:hAnsi="Times New Roman" w:cs="Times New Roman"/>
          <w:i/>
        </w:rPr>
        <w:t xml:space="preserve"> detailed information and upload your banking documentation</w:t>
      </w:r>
      <w:r w:rsidR="00801170">
        <w:rPr>
          <w:rFonts w:ascii="Times New Roman" w:hAnsi="Times New Roman" w:cs="Times New Roman"/>
          <w:i/>
        </w:rPr>
        <w:t xml:space="preserve"> as required to </w:t>
      </w:r>
      <w:r w:rsidRPr="00C079ED">
        <w:rPr>
          <w:rFonts w:ascii="Times New Roman" w:hAnsi="Times New Roman" w:cs="Times New Roman"/>
          <w:i/>
        </w:rPr>
        <w:t xml:space="preserve">receive your relocation </w:t>
      </w:r>
      <w:r w:rsidR="00801170">
        <w:rPr>
          <w:rFonts w:ascii="Times New Roman" w:hAnsi="Times New Roman" w:cs="Times New Roman"/>
          <w:i/>
        </w:rPr>
        <w:t xml:space="preserve">allowance </w:t>
      </w:r>
      <w:r w:rsidRPr="00C079ED">
        <w:rPr>
          <w:rFonts w:ascii="Times New Roman" w:hAnsi="Times New Roman" w:cs="Times New Roman"/>
          <w:i/>
        </w:rPr>
        <w:t>payment.</w:t>
      </w:r>
    </w:p>
    <w:p w14:paraId="44F4E8E9" w14:textId="77777777" w:rsidR="00C079ED" w:rsidRDefault="00C079ED" w:rsidP="00C079ED">
      <w:pPr>
        <w:pStyle w:val="ListParagraph"/>
        <w:ind w:left="1440"/>
        <w:rPr>
          <w:rFonts w:ascii="Times New Roman" w:hAnsi="Times New Roman" w:cs="Times New Roman"/>
        </w:rPr>
      </w:pPr>
    </w:p>
    <w:p w14:paraId="02981854" w14:textId="77777777" w:rsidR="005E30A6" w:rsidRDefault="005E30A6" w:rsidP="00C079ED">
      <w:pPr>
        <w:pStyle w:val="ListParagraph"/>
        <w:ind w:left="1440"/>
        <w:rPr>
          <w:rFonts w:ascii="Times New Roman" w:hAnsi="Times New Roman" w:cs="Times New Roman"/>
        </w:rPr>
      </w:pPr>
      <w:r w:rsidRPr="00C079ED">
        <w:rPr>
          <w:rFonts w:ascii="Times New Roman" w:hAnsi="Times New Roman" w:cs="Times New Roman"/>
        </w:rPr>
        <w:lastRenderedPageBreak/>
        <w:t>Note to HR Team:  On the rare occasions in which an exceptional amount beyond the maximum is approved by the Dean and Provost, different language will be required regarding receipts.</w:t>
      </w:r>
    </w:p>
    <w:p w14:paraId="1FE9EE4A" w14:textId="77777777" w:rsidR="00C079ED" w:rsidRPr="00C079ED" w:rsidRDefault="00C079ED" w:rsidP="00C079ED">
      <w:pPr>
        <w:pStyle w:val="ListParagraph"/>
        <w:ind w:left="1440"/>
        <w:rPr>
          <w:rFonts w:ascii="Times New Roman" w:hAnsi="Times New Roman" w:cs="Times New Roman"/>
        </w:rPr>
      </w:pPr>
    </w:p>
    <w:p w14:paraId="6C6740F5" w14:textId="77777777" w:rsidR="00C079ED" w:rsidRDefault="00801170" w:rsidP="00C079ED">
      <w:pPr>
        <w:pStyle w:val="ListParagraph"/>
        <w:numPr>
          <w:ilvl w:val="0"/>
          <w:numId w:val="9"/>
        </w:numPr>
        <w:rPr>
          <w:rFonts w:ascii="Times New Roman" w:hAnsi="Times New Roman" w:cs="Times New Roman"/>
        </w:rPr>
      </w:pPr>
      <w:r>
        <w:rPr>
          <w:rFonts w:ascii="Times New Roman" w:hAnsi="Times New Roman" w:cs="Times New Roman"/>
        </w:rPr>
        <w:t>Add the</w:t>
      </w:r>
      <w:r w:rsidR="005E30A6">
        <w:rPr>
          <w:rFonts w:ascii="Times New Roman" w:hAnsi="Times New Roman" w:cs="Times New Roman"/>
        </w:rPr>
        <w:t xml:space="preserve"> Employee ID </w:t>
      </w:r>
      <w:r>
        <w:rPr>
          <w:rFonts w:ascii="Times New Roman" w:hAnsi="Times New Roman" w:cs="Times New Roman"/>
        </w:rPr>
        <w:t xml:space="preserve">to the NSCD once it becomes </w:t>
      </w:r>
      <w:r w:rsidR="005E30A6">
        <w:rPr>
          <w:rFonts w:ascii="Times New Roman" w:hAnsi="Times New Roman" w:cs="Times New Roman"/>
        </w:rPr>
        <w:t xml:space="preserve">available </w:t>
      </w:r>
      <w:r w:rsidR="005E30A6" w:rsidRPr="00BC24EC">
        <w:rPr>
          <w:rFonts w:ascii="Times New Roman" w:hAnsi="Times New Roman" w:cs="Times New Roman"/>
        </w:rPr>
        <w:t>when the hire has progressed to the point of an endorsed background check.</w:t>
      </w:r>
    </w:p>
    <w:p w14:paraId="05050558" w14:textId="317B443B" w:rsidR="00BA1D1D" w:rsidRDefault="00801170" w:rsidP="00BA1D1D">
      <w:pPr>
        <w:pStyle w:val="ListParagraph"/>
        <w:numPr>
          <w:ilvl w:val="0"/>
          <w:numId w:val="9"/>
        </w:numPr>
        <w:rPr>
          <w:rFonts w:ascii="Times New Roman" w:hAnsi="Times New Roman" w:cs="Times New Roman"/>
        </w:rPr>
      </w:pPr>
      <w:r>
        <w:rPr>
          <w:rFonts w:ascii="Times New Roman" w:hAnsi="Times New Roman" w:cs="Times New Roman"/>
        </w:rPr>
        <w:t>Ret</w:t>
      </w:r>
      <w:r w:rsidR="005E30A6" w:rsidRPr="00C079ED">
        <w:rPr>
          <w:rFonts w:ascii="Times New Roman" w:hAnsi="Times New Roman" w:cs="Times New Roman"/>
        </w:rPr>
        <w:t xml:space="preserve">urn the </w:t>
      </w:r>
      <w:r>
        <w:rPr>
          <w:rFonts w:ascii="Times New Roman" w:hAnsi="Times New Roman" w:cs="Times New Roman"/>
        </w:rPr>
        <w:t xml:space="preserve">approved </w:t>
      </w:r>
      <w:r w:rsidR="00C079ED">
        <w:rPr>
          <w:rFonts w:ascii="Times New Roman" w:hAnsi="Times New Roman" w:cs="Times New Roman"/>
        </w:rPr>
        <w:t>NSDC</w:t>
      </w:r>
      <w:r w:rsidR="005E30A6" w:rsidRPr="00C079ED">
        <w:rPr>
          <w:rFonts w:ascii="Times New Roman" w:hAnsi="Times New Roman" w:cs="Times New Roman"/>
        </w:rPr>
        <w:t xml:space="preserve"> to the department liaison.  </w:t>
      </w:r>
    </w:p>
    <w:p w14:paraId="60F55A55" w14:textId="26A9814E" w:rsidR="00BA1D1D" w:rsidRDefault="00BA1D1D" w:rsidP="00BA1D1D">
      <w:pPr>
        <w:pStyle w:val="ListParagraph"/>
        <w:rPr>
          <w:rFonts w:ascii="Times New Roman" w:hAnsi="Times New Roman" w:cs="Times New Roman"/>
        </w:rPr>
      </w:pPr>
    </w:p>
    <w:p w14:paraId="4FD24A41" w14:textId="1DD8ACFE" w:rsidR="00BA1D1D" w:rsidRPr="00BA1D1D" w:rsidRDefault="00BA1D1D" w:rsidP="00BA1D1D">
      <w:pPr>
        <w:rPr>
          <w:rFonts w:ascii="Times New Roman" w:hAnsi="Times New Roman" w:cs="Times New Roman"/>
        </w:rPr>
      </w:pPr>
      <w:r>
        <w:rPr>
          <w:rFonts w:ascii="Times New Roman" w:hAnsi="Times New Roman" w:cs="Times New Roman"/>
          <w:b/>
        </w:rPr>
        <w:t>Department or</w:t>
      </w:r>
      <w:r w:rsidRPr="006771CF">
        <w:rPr>
          <w:rFonts w:ascii="Times New Roman" w:hAnsi="Times New Roman" w:cs="Times New Roman"/>
          <w:b/>
        </w:rPr>
        <w:t xml:space="preserve"> Unit L</w:t>
      </w:r>
      <w:r>
        <w:rPr>
          <w:rFonts w:ascii="Times New Roman" w:hAnsi="Times New Roman" w:cs="Times New Roman"/>
          <w:b/>
        </w:rPr>
        <w:t xml:space="preserve">iaison </w:t>
      </w:r>
      <w:r>
        <w:rPr>
          <w:rFonts w:ascii="Times New Roman" w:hAnsi="Times New Roman" w:cs="Times New Roman"/>
        </w:rPr>
        <w:t>will do the following:</w:t>
      </w:r>
    </w:p>
    <w:p w14:paraId="407F1844" w14:textId="071194A6" w:rsidR="00BA1D1D" w:rsidRPr="00BA1D1D" w:rsidRDefault="00BA1D1D" w:rsidP="00BA1D1D">
      <w:pPr>
        <w:pStyle w:val="ListParagraph"/>
        <w:numPr>
          <w:ilvl w:val="0"/>
          <w:numId w:val="9"/>
        </w:numPr>
        <w:rPr>
          <w:rFonts w:ascii="Times New Roman" w:hAnsi="Times New Roman" w:cs="Times New Roman"/>
        </w:rPr>
      </w:pPr>
      <w:r w:rsidRPr="00BA1D1D">
        <w:rPr>
          <w:rFonts w:ascii="Times New Roman" w:eastAsia="Times New Roman" w:hAnsi="Times New Roman" w:cs="Times New Roman"/>
          <w:color w:val="222222"/>
        </w:rPr>
        <w:t>Upon receipt of the approved NSDC, dir</w:t>
      </w:r>
      <w:r w:rsidR="00285C33">
        <w:rPr>
          <w:rFonts w:ascii="Times New Roman" w:eastAsia="Times New Roman" w:hAnsi="Times New Roman" w:cs="Times New Roman"/>
          <w:color w:val="222222"/>
        </w:rPr>
        <w:t xml:space="preserve">ect the new employee to </w:t>
      </w:r>
      <w:proofErr w:type="spellStart"/>
      <w:r w:rsidR="00285C33">
        <w:rPr>
          <w:rFonts w:ascii="Times New Roman" w:eastAsia="Times New Roman" w:hAnsi="Times New Roman" w:cs="Times New Roman"/>
          <w:color w:val="222222"/>
        </w:rPr>
        <w:t>PaymentW</w:t>
      </w:r>
      <w:r w:rsidRPr="00BA1D1D">
        <w:rPr>
          <w:rFonts w:ascii="Times New Roman" w:eastAsia="Times New Roman" w:hAnsi="Times New Roman" w:cs="Times New Roman"/>
          <w:color w:val="222222"/>
        </w:rPr>
        <w:t>orks</w:t>
      </w:r>
      <w:proofErr w:type="spellEnd"/>
      <w:r w:rsidRPr="00BA1D1D">
        <w:rPr>
          <w:rFonts w:ascii="Times New Roman" w:eastAsia="Times New Roman" w:hAnsi="Times New Roman" w:cs="Times New Roman"/>
          <w:color w:val="222222"/>
        </w:rPr>
        <w:t xml:space="preserve"> to complete their personal information and upload banking documents. Please note that this step is pertinent since payments cannot be made prior to the employee providing the information via this process. If you have questions regarding how to accomplish this they should be directed</w:t>
      </w:r>
      <w:r>
        <w:rPr>
          <w:rFonts w:ascii="Times New Roman" w:eastAsia="Times New Roman" w:hAnsi="Times New Roman" w:cs="Times New Roman"/>
          <w:color w:val="222222"/>
        </w:rPr>
        <w:t xml:space="preserve"> to college Financial Services.</w:t>
      </w:r>
    </w:p>
    <w:p w14:paraId="5F11F53D" w14:textId="77777777" w:rsidR="00BA1D1D" w:rsidRPr="00BA1D1D" w:rsidRDefault="00BA1D1D" w:rsidP="00BA1D1D">
      <w:pPr>
        <w:pStyle w:val="ListParagraph"/>
        <w:numPr>
          <w:ilvl w:val="0"/>
          <w:numId w:val="9"/>
        </w:numPr>
        <w:rPr>
          <w:rFonts w:ascii="Times New Roman" w:hAnsi="Times New Roman" w:cs="Times New Roman"/>
        </w:rPr>
      </w:pPr>
      <w:r w:rsidRPr="00BA1D1D">
        <w:rPr>
          <w:rFonts w:ascii="Times New Roman" w:eastAsia="Times New Roman" w:hAnsi="Times New Roman" w:cs="Times New Roman"/>
          <w:color w:val="222222"/>
        </w:rPr>
        <w:t>Review the payment (Begin Date on the form) and the sources of funding. The voucher should be ent</w:t>
      </w:r>
      <w:r>
        <w:rPr>
          <w:rFonts w:ascii="Times New Roman" w:eastAsia="Times New Roman" w:hAnsi="Times New Roman" w:cs="Times New Roman"/>
          <w:color w:val="222222"/>
        </w:rPr>
        <w:t>ered on the begin date listed.</w:t>
      </w:r>
    </w:p>
    <w:p w14:paraId="09F80F4E" w14:textId="77777777" w:rsidR="00BA1D1D" w:rsidRPr="00BA1D1D" w:rsidRDefault="00BA1D1D" w:rsidP="00BA1D1D">
      <w:pPr>
        <w:pStyle w:val="ListParagraph"/>
        <w:numPr>
          <w:ilvl w:val="1"/>
          <w:numId w:val="9"/>
        </w:numPr>
        <w:rPr>
          <w:rFonts w:ascii="Times New Roman" w:hAnsi="Times New Roman" w:cs="Times New Roman"/>
        </w:rPr>
      </w:pPr>
      <w:r w:rsidRPr="00BA1D1D">
        <w:rPr>
          <w:rFonts w:ascii="Times New Roman" w:eastAsia="Times New Roman" w:hAnsi="Times New Roman" w:cs="Times New Roman"/>
          <w:color w:val="222222"/>
        </w:rPr>
        <w:t>The allowance for T/TT faculty up to $3</w:t>
      </w:r>
      <w:bookmarkStart w:id="0" w:name="_GoBack"/>
      <w:bookmarkEnd w:id="0"/>
      <w:r w:rsidRPr="00BA1D1D">
        <w:rPr>
          <w:rFonts w:ascii="Times New Roman" w:eastAsia="Times New Roman" w:hAnsi="Times New Roman" w:cs="Times New Roman"/>
          <w:color w:val="222222"/>
        </w:rPr>
        <w:t>,000 will be covered by the college. Enter the voucher using the NSDC, along with a copy of the letter of offer redacting the salary, as back-up documentation. Use account code 51530 and category ID NA25.  Allowances will be paid directly to the employee on non-state funds. As with all vouchers, payment generally occurs within 30 days of initiation.  </w:t>
      </w:r>
    </w:p>
    <w:p w14:paraId="64147368" w14:textId="2DB829EB" w:rsidR="00BA1D1D" w:rsidRPr="00BA1D1D" w:rsidRDefault="00BA1D1D" w:rsidP="00BA1D1D">
      <w:pPr>
        <w:pStyle w:val="ListParagraph"/>
        <w:numPr>
          <w:ilvl w:val="1"/>
          <w:numId w:val="9"/>
        </w:numPr>
        <w:rPr>
          <w:rFonts w:ascii="Times New Roman" w:hAnsi="Times New Roman" w:cs="Times New Roman"/>
        </w:rPr>
      </w:pPr>
      <w:r w:rsidRPr="00BA1D1D">
        <w:rPr>
          <w:rFonts w:ascii="Times New Roman" w:eastAsia="Times New Roman" w:hAnsi="Times New Roman" w:cs="Times New Roman"/>
          <w:color w:val="222222"/>
        </w:rPr>
        <w:t>Do not make any payments associated with the relocation allowance to a vendor with a P-card, via Marketplace, with a Purchase Order, or any other method. Neither should personal reimbursements be processed</w:t>
      </w:r>
      <w:r>
        <w:rPr>
          <w:rFonts w:ascii="Times New Roman" w:eastAsia="Times New Roman" w:hAnsi="Times New Roman" w:cs="Times New Roman"/>
          <w:color w:val="222222"/>
        </w:rPr>
        <w:t>.</w:t>
      </w:r>
    </w:p>
    <w:p w14:paraId="0D2CE37B" w14:textId="7386F52A" w:rsidR="00BA1D1D" w:rsidRPr="00BA1D1D" w:rsidRDefault="00BA1D1D" w:rsidP="00BA1D1D">
      <w:pPr>
        <w:rPr>
          <w:rFonts w:ascii="Times New Roman" w:hAnsi="Times New Roman" w:cs="Times New Roman"/>
        </w:rPr>
      </w:pPr>
      <w:r w:rsidRPr="00BA1D1D">
        <w:rPr>
          <w:rFonts w:ascii="Times New Roman" w:hAnsi="Times New Roman" w:cs="Times New Roman"/>
          <w:b/>
        </w:rPr>
        <w:t>College Financial Services</w:t>
      </w:r>
      <w:r>
        <w:rPr>
          <w:rFonts w:ascii="Times New Roman" w:hAnsi="Times New Roman" w:cs="Times New Roman"/>
        </w:rPr>
        <w:t xml:space="preserve"> will do the following:</w:t>
      </w:r>
    </w:p>
    <w:p w14:paraId="34626A44" w14:textId="77777777" w:rsidR="00BA1D1D" w:rsidRPr="00BA1D1D" w:rsidRDefault="00BA1D1D" w:rsidP="00BA1D1D">
      <w:pPr>
        <w:pStyle w:val="ListParagraph"/>
        <w:numPr>
          <w:ilvl w:val="0"/>
          <w:numId w:val="9"/>
        </w:numPr>
        <w:rPr>
          <w:rFonts w:ascii="Times New Roman" w:hAnsi="Times New Roman" w:cs="Times New Roman"/>
        </w:rPr>
      </w:pPr>
      <w:r w:rsidRPr="00BA1D1D">
        <w:rPr>
          <w:rFonts w:ascii="Times New Roman" w:eastAsia="Times New Roman" w:hAnsi="Times New Roman" w:cs="Times New Roman"/>
          <w:color w:val="222222"/>
        </w:rPr>
        <w:t xml:space="preserve">After the voucher is submitted from the Liaison, review for approval. Check the Relocation Funding Data worksheet in the Notification of Separation or Phased Retirement, Plan of Action, and Recruitment of T/TT google doc to determine if the appropriate project for payment was used. </w:t>
      </w:r>
    </w:p>
    <w:p w14:paraId="7DDD2B2D" w14:textId="77777777" w:rsidR="00BA1D1D" w:rsidRPr="00BA1D1D" w:rsidRDefault="00BA1D1D" w:rsidP="00BA1D1D">
      <w:pPr>
        <w:pStyle w:val="ListParagraph"/>
        <w:numPr>
          <w:ilvl w:val="1"/>
          <w:numId w:val="9"/>
        </w:numPr>
        <w:rPr>
          <w:rFonts w:ascii="Times New Roman" w:hAnsi="Times New Roman" w:cs="Times New Roman"/>
        </w:rPr>
      </w:pPr>
      <w:r w:rsidRPr="00BA1D1D">
        <w:rPr>
          <w:rFonts w:ascii="Times New Roman" w:hAnsi="Times New Roman" w:cs="Times New Roman"/>
        </w:rPr>
        <w:t>F</w:t>
      </w:r>
      <w:r w:rsidRPr="00BA1D1D">
        <w:rPr>
          <w:rFonts w:ascii="Times New Roman" w:eastAsia="Times New Roman" w:hAnsi="Times New Roman" w:cs="Times New Roman"/>
          <w:color w:val="222222"/>
        </w:rPr>
        <w:t>or allowance for T/TT faculty beyond $3,000, use the Relocation Funding Data worksheet to determine if the appropriate project for $3,000 and the department’s discretionary project as indicated on the NSDC for the amou</w:t>
      </w:r>
      <w:r>
        <w:rPr>
          <w:rFonts w:ascii="Times New Roman" w:eastAsia="Times New Roman" w:hAnsi="Times New Roman" w:cs="Times New Roman"/>
          <w:color w:val="222222"/>
        </w:rPr>
        <w:t>nt beyond $3,000.</w:t>
      </w:r>
    </w:p>
    <w:p w14:paraId="7A1C6D59" w14:textId="77777777" w:rsidR="00BA1D1D" w:rsidRPr="00BA1D1D" w:rsidRDefault="00BA1D1D" w:rsidP="00BA1D1D">
      <w:pPr>
        <w:pStyle w:val="ListParagraph"/>
        <w:numPr>
          <w:ilvl w:val="1"/>
          <w:numId w:val="9"/>
        </w:numPr>
        <w:rPr>
          <w:rFonts w:ascii="Times New Roman" w:hAnsi="Times New Roman" w:cs="Times New Roman"/>
        </w:rPr>
      </w:pPr>
      <w:r w:rsidRPr="00BA1D1D">
        <w:rPr>
          <w:rFonts w:ascii="Times New Roman" w:eastAsia="Times New Roman" w:hAnsi="Times New Roman" w:cs="Times New Roman"/>
          <w:color w:val="222222"/>
        </w:rPr>
        <w:t>For college administrators that report directly to the Dean, use the Relocation Funding Data worksheet to det</w:t>
      </w:r>
      <w:r>
        <w:rPr>
          <w:rFonts w:ascii="Times New Roman" w:eastAsia="Times New Roman" w:hAnsi="Times New Roman" w:cs="Times New Roman"/>
          <w:color w:val="222222"/>
        </w:rPr>
        <w:t>ermine the appropriate project.</w:t>
      </w:r>
    </w:p>
    <w:p w14:paraId="67CF6F2A" w14:textId="77777777" w:rsidR="00BA1D1D" w:rsidRPr="00BA1D1D" w:rsidRDefault="00BA1D1D" w:rsidP="00BA1D1D">
      <w:pPr>
        <w:pStyle w:val="ListParagraph"/>
        <w:numPr>
          <w:ilvl w:val="1"/>
          <w:numId w:val="9"/>
        </w:numPr>
        <w:rPr>
          <w:rFonts w:ascii="Times New Roman" w:hAnsi="Times New Roman" w:cs="Times New Roman"/>
        </w:rPr>
      </w:pPr>
      <w:r w:rsidRPr="00BA1D1D">
        <w:rPr>
          <w:rFonts w:ascii="Times New Roman" w:eastAsia="Times New Roman" w:hAnsi="Times New Roman" w:cs="Times New Roman"/>
          <w:color w:val="222222"/>
        </w:rPr>
        <w:t>For all other EHRA employee types, they should use the department’s discretionary project as indicated on the NSDC. </w:t>
      </w:r>
    </w:p>
    <w:p w14:paraId="081D3828" w14:textId="1B3A23C6" w:rsidR="00BA1D1D" w:rsidRPr="00BA1D1D" w:rsidRDefault="00BA1D1D" w:rsidP="00BA1D1D">
      <w:pPr>
        <w:pStyle w:val="ListParagraph"/>
        <w:numPr>
          <w:ilvl w:val="0"/>
          <w:numId w:val="9"/>
        </w:numPr>
        <w:rPr>
          <w:rFonts w:ascii="Times New Roman" w:hAnsi="Times New Roman" w:cs="Times New Roman"/>
        </w:rPr>
      </w:pPr>
      <w:r w:rsidRPr="00BA1D1D">
        <w:rPr>
          <w:rFonts w:ascii="Times New Roman" w:eastAsia="Times New Roman" w:hAnsi="Times New Roman" w:cs="Times New Roman"/>
          <w:color w:val="222222"/>
        </w:rPr>
        <w:t xml:space="preserve">Enter the voucher #, project #, and date in the Relocation Payment column of the appropriate worksheet in the Notification of Separation or Phased Retirement, Plan of Action, and Recruitment of T/TT </w:t>
      </w:r>
      <w:proofErr w:type="spellStart"/>
      <w:r w:rsidRPr="00BA1D1D">
        <w:rPr>
          <w:rFonts w:ascii="Times New Roman" w:eastAsia="Times New Roman" w:hAnsi="Times New Roman" w:cs="Times New Roman"/>
          <w:color w:val="222222"/>
        </w:rPr>
        <w:t>googledoc</w:t>
      </w:r>
      <w:proofErr w:type="spellEnd"/>
      <w:r w:rsidRPr="00BA1D1D">
        <w:rPr>
          <w:rFonts w:ascii="Times New Roman" w:eastAsia="Times New Roman" w:hAnsi="Times New Roman" w:cs="Times New Roman"/>
          <w:color w:val="222222"/>
        </w:rPr>
        <w:t>.</w:t>
      </w:r>
    </w:p>
    <w:p w14:paraId="0505952B" w14:textId="77777777" w:rsidR="00BA1D1D" w:rsidRPr="00BA1D1D" w:rsidRDefault="00BA1D1D" w:rsidP="00BA1D1D">
      <w:pPr>
        <w:rPr>
          <w:rFonts w:ascii="Times New Roman" w:hAnsi="Times New Roman" w:cs="Times New Roman"/>
        </w:rPr>
      </w:pPr>
    </w:p>
    <w:sectPr w:rsidR="00BA1D1D" w:rsidRPr="00BA1D1D">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20BAC" w14:textId="77777777" w:rsidR="003443CC" w:rsidRDefault="003443CC" w:rsidP="00C10C54">
      <w:pPr>
        <w:spacing w:after="0"/>
      </w:pPr>
      <w:r>
        <w:separator/>
      </w:r>
    </w:p>
  </w:endnote>
  <w:endnote w:type="continuationSeparator" w:id="0">
    <w:p w14:paraId="70E4CD07" w14:textId="77777777" w:rsidR="003443CC" w:rsidRDefault="003443CC" w:rsidP="00C10C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294620"/>
      <w:docPartObj>
        <w:docPartGallery w:val="Page Numbers (Bottom of Page)"/>
        <w:docPartUnique/>
      </w:docPartObj>
    </w:sdtPr>
    <w:sdtEndPr>
      <w:rPr>
        <w:noProof/>
      </w:rPr>
    </w:sdtEndPr>
    <w:sdtContent>
      <w:p w14:paraId="1DB6ACC9" w14:textId="6D3C6D79" w:rsidR="00CD0576" w:rsidRDefault="00CD0576">
        <w:pPr>
          <w:pStyle w:val="Footer"/>
          <w:jc w:val="right"/>
        </w:pPr>
        <w:r>
          <w:fldChar w:fldCharType="begin"/>
        </w:r>
        <w:r>
          <w:instrText xml:space="preserve"> PAGE   \* MERGEFORMAT </w:instrText>
        </w:r>
        <w:r>
          <w:fldChar w:fldCharType="separate"/>
        </w:r>
        <w:r w:rsidR="00285C33">
          <w:rPr>
            <w:noProof/>
          </w:rPr>
          <w:t>3</w:t>
        </w:r>
        <w:r>
          <w:rPr>
            <w:noProof/>
          </w:rPr>
          <w:fldChar w:fldCharType="end"/>
        </w:r>
      </w:p>
    </w:sdtContent>
  </w:sdt>
  <w:p w14:paraId="040F65BA" w14:textId="77777777" w:rsidR="00CD0576" w:rsidRDefault="00CD0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755C3" w14:textId="77777777" w:rsidR="003443CC" w:rsidRDefault="003443CC" w:rsidP="00C10C54">
      <w:pPr>
        <w:spacing w:after="0"/>
      </w:pPr>
      <w:r>
        <w:separator/>
      </w:r>
    </w:p>
  </w:footnote>
  <w:footnote w:type="continuationSeparator" w:id="0">
    <w:p w14:paraId="650B419C" w14:textId="77777777" w:rsidR="003443CC" w:rsidRDefault="003443CC" w:rsidP="00C10C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DF1DC" w14:textId="77777777" w:rsidR="00C10C54" w:rsidRDefault="00C10C54">
    <w:pPr>
      <w:pStyle w:val="Header"/>
    </w:pPr>
    <w:r>
      <w:t>College of Humanities and Social Sciences</w:t>
    </w:r>
  </w:p>
  <w:p w14:paraId="7D2445CE" w14:textId="77777777" w:rsidR="00C810C4" w:rsidRDefault="00C810C4">
    <w:pPr>
      <w:pStyle w:val="Header"/>
    </w:pPr>
  </w:p>
  <w:p w14:paraId="7396FB93" w14:textId="77777777" w:rsidR="00C810C4" w:rsidRDefault="00C810C4" w:rsidP="00C810C4">
    <w:pPr>
      <w:pBdr>
        <w:top w:val="single" w:sz="4" w:space="1" w:color="auto"/>
        <w:left w:val="single" w:sz="4" w:space="4" w:color="auto"/>
        <w:bottom w:val="single" w:sz="4" w:space="1" w:color="auto"/>
        <w:right w:val="single" w:sz="4" w:space="4" w:color="auto"/>
        <w:between w:val="single" w:sz="4" w:space="1" w:color="auto"/>
        <w:bar w:val="single" w:sz="4" w:color="auto"/>
      </w:pBdr>
    </w:pPr>
    <w:r>
      <w:rPr>
        <w:b/>
      </w:rPr>
      <w:t xml:space="preserve">College HR </w:t>
    </w:r>
    <w:r w:rsidRPr="00251EDE">
      <w:rPr>
        <w:b/>
      </w:rPr>
      <w:t>Process</w:t>
    </w:r>
    <w:r>
      <w:t xml:space="preserve">:  </w:t>
    </w:r>
    <w:r w:rsidR="00B262EA">
      <w:t>Relocation Allowance</w:t>
    </w:r>
    <w:r>
      <w:t xml:space="preserve">     </w:t>
    </w:r>
  </w:p>
  <w:p w14:paraId="023E2D78" w14:textId="55C9C74C" w:rsidR="00C810C4" w:rsidRDefault="00C810C4" w:rsidP="00C810C4">
    <w:pPr>
      <w:pBdr>
        <w:top w:val="single" w:sz="4" w:space="1" w:color="auto"/>
        <w:left w:val="single" w:sz="4" w:space="4" w:color="auto"/>
        <w:bottom w:val="single" w:sz="4" w:space="1" w:color="auto"/>
        <w:right w:val="single" w:sz="4" w:space="4" w:color="auto"/>
        <w:between w:val="single" w:sz="4" w:space="1" w:color="auto"/>
        <w:bar w:val="single" w:sz="4" w:color="auto"/>
      </w:pBdr>
    </w:pPr>
    <w:r w:rsidRPr="00251EDE">
      <w:rPr>
        <w:b/>
      </w:rPr>
      <w:t>Contact</w:t>
    </w:r>
    <w:r w:rsidR="007C375D">
      <w:t xml:space="preserve">:  </w:t>
    </w:r>
    <w:hyperlink r:id="rId1" w:history="1">
      <w:r w:rsidRPr="0026121A">
        <w:rPr>
          <w:rStyle w:val="Hyperlink"/>
        </w:rPr>
        <w:t xml:space="preserve">College HR </w:t>
      </w:r>
      <w:r w:rsidR="007C375D">
        <w:rPr>
          <w:rStyle w:val="Hyperlink"/>
        </w:rPr>
        <w:t>Services Team</w:t>
      </w:r>
    </w:hyperlink>
    <w:r w:rsidR="007C375D">
      <w:t xml:space="preserve"> and </w:t>
    </w:r>
    <w:hyperlink r:id="rId2" w:history="1">
      <w:r w:rsidR="007C375D" w:rsidRPr="007C375D">
        <w:rPr>
          <w:rStyle w:val="Hyperlink"/>
        </w:rPr>
        <w:t>College Financial Services Team</w:t>
      </w:r>
    </w:hyperlink>
    <w:r w:rsidR="001E79A0">
      <w:tab/>
      <w:t xml:space="preserve">       </w:t>
    </w:r>
    <w:r w:rsidR="001E79A0">
      <w:rPr>
        <w:b/>
      </w:rPr>
      <w:t xml:space="preserve">Last Updated:  </w:t>
    </w:r>
    <w:r w:rsidR="00285C33">
      <w:t>4/18/24</w:t>
    </w:r>
  </w:p>
  <w:p w14:paraId="2662F9D6" w14:textId="77777777" w:rsidR="00C810C4" w:rsidRDefault="00C810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DD8"/>
    <w:multiLevelType w:val="hybridMultilevel"/>
    <w:tmpl w:val="36F6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A3951"/>
    <w:multiLevelType w:val="hybridMultilevel"/>
    <w:tmpl w:val="3C7C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B579A"/>
    <w:multiLevelType w:val="hybridMultilevel"/>
    <w:tmpl w:val="FB824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0B52C4"/>
    <w:multiLevelType w:val="hybridMultilevel"/>
    <w:tmpl w:val="FF02B7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EC6FE2"/>
    <w:multiLevelType w:val="hybridMultilevel"/>
    <w:tmpl w:val="08668F9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2C564524">
      <w:start w:val="1"/>
      <w:numFmt w:val="bullet"/>
      <w:lvlText w:val="­"/>
      <w:lvlJc w:val="left"/>
      <w:pPr>
        <w:ind w:left="2160" w:hanging="18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CB1595"/>
    <w:multiLevelType w:val="hybridMultilevel"/>
    <w:tmpl w:val="D68A0162"/>
    <w:lvl w:ilvl="0" w:tplc="F262506C">
      <w:start w:val="12"/>
      <w:numFmt w:val="decimal"/>
      <w:lvlText w:val="%1."/>
      <w:lvlJc w:val="left"/>
      <w:pPr>
        <w:ind w:left="1440" w:hanging="360"/>
      </w:pPr>
      <w:rPr>
        <w:rFonts w:eastAsia="Times New Roman" w:hint="default"/>
        <w:color w:val="2222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DEB1BA4"/>
    <w:multiLevelType w:val="hybridMultilevel"/>
    <w:tmpl w:val="13D2C93C"/>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E313B5E"/>
    <w:multiLevelType w:val="hybridMultilevel"/>
    <w:tmpl w:val="0114C30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1B39BB"/>
    <w:multiLevelType w:val="hybridMultilevel"/>
    <w:tmpl w:val="E97000FE"/>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A97BCD"/>
    <w:multiLevelType w:val="hybridMultilevel"/>
    <w:tmpl w:val="5B728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D1527C"/>
    <w:multiLevelType w:val="hybridMultilevel"/>
    <w:tmpl w:val="26CA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1"/>
  </w:num>
  <w:num w:numId="5">
    <w:abstractNumId w:val="0"/>
  </w:num>
  <w:num w:numId="6">
    <w:abstractNumId w:val="3"/>
  </w:num>
  <w:num w:numId="7">
    <w:abstractNumId w:val="9"/>
  </w:num>
  <w:num w:numId="8">
    <w:abstractNumId w:val="4"/>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EDE"/>
    <w:rsid w:val="00010E82"/>
    <w:rsid w:val="000249DE"/>
    <w:rsid w:val="0007352B"/>
    <w:rsid w:val="000850E5"/>
    <w:rsid w:val="000B14B4"/>
    <w:rsid w:val="000B58E1"/>
    <w:rsid w:val="000D1BC8"/>
    <w:rsid w:val="000F59E7"/>
    <w:rsid w:val="001075F1"/>
    <w:rsid w:val="00116D8C"/>
    <w:rsid w:val="00127196"/>
    <w:rsid w:val="001354B5"/>
    <w:rsid w:val="00137B6E"/>
    <w:rsid w:val="001429F0"/>
    <w:rsid w:val="00145247"/>
    <w:rsid w:val="001819EF"/>
    <w:rsid w:val="00190DE9"/>
    <w:rsid w:val="001979AE"/>
    <w:rsid w:val="001E79A0"/>
    <w:rsid w:val="002015FD"/>
    <w:rsid w:val="0020764B"/>
    <w:rsid w:val="002403FD"/>
    <w:rsid w:val="00251EDE"/>
    <w:rsid w:val="0026121A"/>
    <w:rsid w:val="00282865"/>
    <w:rsid w:val="00285C33"/>
    <w:rsid w:val="00287D2C"/>
    <w:rsid w:val="0029604D"/>
    <w:rsid w:val="002A37CE"/>
    <w:rsid w:val="002A49CB"/>
    <w:rsid w:val="002A534C"/>
    <w:rsid w:val="003042B6"/>
    <w:rsid w:val="00310F48"/>
    <w:rsid w:val="00313E07"/>
    <w:rsid w:val="003155EE"/>
    <w:rsid w:val="003443CC"/>
    <w:rsid w:val="0036390B"/>
    <w:rsid w:val="00366F85"/>
    <w:rsid w:val="00374BF7"/>
    <w:rsid w:val="0038553A"/>
    <w:rsid w:val="003864B1"/>
    <w:rsid w:val="00395161"/>
    <w:rsid w:val="003A34B1"/>
    <w:rsid w:val="003B2365"/>
    <w:rsid w:val="003C7BD3"/>
    <w:rsid w:val="003D6E42"/>
    <w:rsid w:val="003E23BD"/>
    <w:rsid w:val="00417E90"/>
    <w:rsid w:val="0042194A"/>
    <w:rsid w:val="004305CE"/>
    <w:rsid w:val="00441295"/>
    <w:rsid w:val="004449D7"/>
    <w:rsid w:val="0044551D"/>
    <w:rsid w:val="00461FFE"/>
    <w:rsid w:val="0046218A"/>
    <w:rsid w:val="004658C2"/>
    <w:rsid w:val="004729D4"/>
    <w:rsid w:val="004761E9"/>
    <w:rsid w:val="00493572"/>
    <w:rsid w:val="004A212C"/>
    <w:rsid w:val="004C480E"/>
    <w:rsid w:val="004C66C1"/>
    <w:rsid w:val="004D0D12"/>
    <w:rsid w:val="004D3483"/>
    <w:rsid w:val="004D4198"/>
    <w:rsid w:val="004E29CC"/>
    <w:rsid w:val="004F1B4F"/>
    <w:rsid w:val="004F293E"/>
    <w:rsid w:val="00500EE8"/>
    <w:rsid w:val="005069F9"/>
    <w:rsid w:val="005173B1"/>
    <w:rsid w:val="005210D6"/>
    <w:rsid w:val="00537962"/>
    <w:rsid w:val="00543433"/>
    <w:rsid w:val="00581063"/>
    <w:rsid w:val="005B148C"/>
    <w:rsid w:val="005C11EE"/>
    <w:rsid w:val="005C7950"/>
    <w:rsid w:val="005D66F5"/>
    <w:rsid w:val="005D7263"/>
    <w:rsid w:val="005E30A6"/>
    <w:rsid w:val="00600152"/>
    <w:rsid w:val="00600DDF"/>
    <w:rsid w:val="0060158A"/>
    <w:rsid w:val="00602299"/>
    <w:rsid w:val="0060602C"/>
    <w:rsid w:val="00625390"/>
    <w:rsid w:val="00637210"/>
    <w:rsid w:val="0065561C"/>
    <w:rsid w:val="00676989"/>
    <w:rsid w:val="00676AA0"/>
    <w:rsid w:val="006771CF"/>
    <w:rsid w:val="00680F90"/>
    <w:rsid w:val="006A1AC6"/>
    <w:rsid w:val="006A5BB7"/>
    <w:rsid w:val="006D3715"/>
    <w:rsid w:val="006E552C"/>
    <w:rsid w:val="006F2FFE"/>
    <w:rsid w:val="0070300A"/>
    <w:rsid w:val="00731581"/>
    <w:rsid w:val="00735CD0"/>
    <w:rsid w:val="00752D8D"/>
    <w:rsid w:val="00774B6D"/>
    <w:rsid w:val="00794B03"/>
    <w:rsid w:val="007A5E78"/>
    <w:rsid w:val="007C2AE3"/>
    <w:rsid w:val="007C375D"/>
    <w:rsid w:val="007C5470"/>
    <w:rsid w:val="007D2204"/>
    <w:rsid w:val="00801170"/>
    <w:rsid w:val="00804501"/>
    <w:rsid w:val="00804F98"/>
    <w:rsid w:val="0080607B"/>
    <w:rsid w:val="00806930"/>
    <w:rsid w:val="00865D3F"/>
    <w:rsid w:val="00872C0A"/>
    <w:rsid w:val="00873590"/>
    <w:rsid w:val="008B09D8"/>
    <w:rsid w:val="008B2B5F"/>
    <w:rsid w:val="008C53A4"/>
    <w:rsid w:val="008C7750"/>
    <w:rsid w:val="008D5A54"/>
    <w:rsid w:val="00907E29"/>
    <w:rsid w:val="009213A2"/>
    <w:rsid w:val="00921622"/>
    <w:rsid w:val="0092246E"/>
    <w:rsid w:val="00927A82"/>
    <w:rsid w:val="00942BD2"/>
    <w:rsid w:val="009473B8"/>
    <w:rsid w:val="00952B8E"/>
    <w:rsid w:val="0095774D"/>
    <w:rsid w:val="009605EF"/>
    <w:rsid w:val="009629F3"/>
    <w:rsid w:val="00966BB4"/>
    <w:rsid w:val="00982D86"/>
    <w:rsid w:val="00992D11"/>
    <w:rsid w:val="009B212D"/>
    <w:rsid w:val="009B21D9"/>
    <w:rsid w:val="009C3EC6"/>
    <w:rsid w:val="009F2000"/>
    <w:rsid w:val="00A1231D"/>
    <w:rsid w:val="00A1467F"/>
    <w:rsid w:val="00A25317"/>
    <w:rsid w:val="00A3550C"/>
    <w:rsid w:val="00A46DC0"/>
    <w:rsid w:val="00A50A84"/>
    <w:rsid w:val="00A57195"/>
    <w:rsid w:val="00A64109"/>
    <w:rsid w:val="00A8729D"/>
    <w:rsid w:val="00AB1A8F"/>
    <w:rsid w:val="00AE7B8B"/>
    <w:rsid w:val="00AF2359"/>
    <w:rsid w:val="00AF6983"/>
    <w:rsid w:val="00AF7462"/>
    <w:rsid w:val="00B02BEE"/>
    <w:rsid w:val="00B03014"/>
    <w:rsid w:val="00B03ACC"/>
    <w:rsid w:val="00B10614"/>
    <w:rsid w:val="00B23023"/>
    <w:rsid w:val="00B262EA"/>
    <w:rsid w:val="00B33836"/>
    <w:rsid w:val="00B35043"/>
    <w:rsid w:val="00B54098"/>
    <w:rsid w:val="00B57A1F"/>
    <w:rsid w:val="00B838F1"/>
    <w:rsid w:val="00B87071"/>
    <w:rsid w:val="00B92877"/>
    <w:rsid w:val="00BA1D1D"/>
    <w:rsid w:val="00BC24EC"/>
    <w:rsid w:val="00BC6867"/>
    <w:rsid w:val="00BD2946"/>
    <w:rsid w:val="00BD4A54"/>
    <w:rsid w:val="00BE1AC8"/>
    <w:rsid w:val="00BE24AF"/>
    <w:rsid w:val="00BE6261"/>
    <w:rsid w:val="00BF0E49"/>
    <w:rsid w:val="00BF1402"/>
    <w:rsid w:val="00BF72D2"/>
    <w:rsid w:val="00C079ED"/>
    <w:rsid w:val="00C10C54"/>
    <w:rsid w:val="00C1692D"/>
    <w:rsid w:val="00C208C2"/>
    <w:rsid w:val="00C3050D"/>
    <w:rsid w:val="00C63FC0"/>
    <w:rsid w:val="00C810C4"/>
    <w:rsid w:val="00C81D6A"/>
    <w:rsid w:val="00C82AD2"/>
    <w:rsid w:val="00CB1826"/>
    <w:rsid w:val="00CB45D9"/>
    <w:rsid w:val="00CC4C20"/>
    <w:rsid w:val="00CD0576"/>
    <w:rsid w:val="00CD470F"/>
    <w:rsid w:val="00D444D1"/>
    <w:rsid w:val="00D50AFA"/>
    <w:rsid w:val="00D560E4"/>
    <w:rsid w:val="00D57D77"/>
    <w:rsid w:val="00D624A8"/>
    <w:rsid w:val="00D66E5B"/>
    <w:rsid w:val="00D73986"/>
    <w:rsid w:val="00D8036A"/>
    <w:rsid w:val="00DA24C9"/>
    <w:rsid w:val="00DC040F"/>
    <w:rsid w:val="00DC27B5"/>
    <w:rsid w:val="00DE14A7"/>
    <w:rsid w:val="00DE6BD0"/>
    <w:rsid w:val="00E00C72"/>
    <w:rsid w:val="00E01093"/>
    <w:rsid w:val="00E03C85"/>
    <w:rsid w:val="00E13E68"/>
    <w:rsid w:val="00E2329E"/>
    <w:rsid w:val="00E24F12"/>
    <w:rsid w:val="00E26E56"/>
    <w:rsid w:val="00E367A3"/>
    <w:rsid w:val="00E40A0E"/>
    <w:rsid w:val="00E90444"/>
    <w:rsid w:val="00E96F29"/>
    <w:rsid w:val="00EA64DF"/>
    <w:rsid w:val="00EB6340"/>
    <w:rsid w:val="00EC38D1"/>
    <w:rsid w:val="00ED7144"/>
    <w:rsid w:val="00EE072B"/>
    <w:rsid w:val="00EF12A6"/>
    <w:rsid w:val="00F63689"/>
    <w:rsid w:val="00F649EB"/>
    <w:rsid w:val="00F72FDA"/>
    <w:rsid w:val="00F926E9"/>
    <w:rsid w:val="00F975CD"/>
    <w:rsid w:val="00FB5601"/>
    <w:rsid w:val="00FC11FC"/>
    <w:rsid w:val="00FC3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D49C6"/>
  <w15:docId w15:val="{553A4FC7-97B1-428B-8BBB-43C3B64E7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4B5"/>
    <w:rPr>
      <w:color w:val="0000FF" w:themeColor="hyperlink"/>
      <w:u w:val="single"/>
    </w:rPr>
  </w:style>
  <w:style w:type="paragraph" w:styleId="Header">
    <w:name w:val="header"/>
    <w:basedOn w:val="Normal"/>
    <w:link w:val="HeaderChar"/>
    <w:uiPriority w:val="99"/>
    <w:unhideWhenUsed/>
    <w:rsid w:val="00C10C54"/>
    <w:pPr>
      <w:tabs>
        <w:tab w:val="center" w:pos="4680"/>
        <w:tab w:val="right" w:pos="9360"/>
      </w:tabs>
      <w:spacing w:after="0"/>
    </w:pPr>
  </w:style>
  <w:style w:type="character" w:customStyle="1" w:styleId="HeaderChar">
    <w:name w:val="Header Char"/>
    <w:basedOn w:val="DefaultParagraphFont"/>
    <w:link w:val="Header"/>
    <w:uiPriority w:val="99"/>
    <w:rsid w:val="00C10C54"/>
  </w:style>
  <w:style w:type="paragraph" w:styleId="Footer">
    <w:name w:val="footer"/>
    <w:basedOn w:val="Normal"/>
    <w:link w:val="FooterChar"/>
    <w:uiPriority w:val="99"/>
    <w:unhideWhenUsed/>
    <w:rsid w:val="00C10C54"/>
    <w:pPr>
      <w:tabs>
        <w:tab w:val="center" w:pos="4680"/>
        <w:tab w:val="right" w:pos="9360"/>
      </w:tabs>
      <w:spacing w:after="0"/>
    </w:pPr>
  </w:style>
  <w:style w:type="character" w:customStyle="1" w:styleId="FooterChar">
    <w:name w:val="Footer Char"/>
    <w:basedOn w:val="DefaultParagraphFont"/>
    <w:link w:val="Footer"/>
    <w:uiPriority w:val="99"/>
    <w:rsid w:val="00C10C54"/>
  </w:style>
  <w:style w:type="character" w:styleId="FollowedHyperlink">
    <w:name w:val="FollowedHyperlink"/>
    <w:basedOn w:val="DefaultParagraphFont"/>
    <w:uiPriority w:val="99"/>
    <w:semiHidden/>
    <w:unhideWhenUsed/>
    <w:rsid w:val="00B03ACC"/>
    <w:rPr>
      <w:color w:val="800080" w:themeColor="followedHyperlink"/>
      <w:u w:val="single"/>
    </w:rPr>
  </w:style>
  <w:style w:type="character" w:styleId="Emphasis">
    <w:name w:val="Emphasis"/>
    <w:basedOn w:val="DefaultParagraphFont"/>
    <w:uiPriority w:val="20"/>
    <w:qFormat/>
    <w:rsid w:val="00461FFE"/>
    <w:rPr>
      <w:i/>
      <w:iCs/>
    </w:rPr>
  </w:style>
  <w:style w:type="paragraph" w:styleId="ListParagraph">
    <w:name w:val="List Paragraph"/>
    <w:basedOn w:val="Normal"/>
    <w:uiPriority w:val="34"/>
    <w:qFormat/>
    <w:rsid w:val="00B262EA"/>
    <w:pPr>
      <w:ind w:left="720"/>
      <w:contextualSpacing/>
    </w:pPr>
  </w:style>
  <w:style w:type="table" w:styleId="TableGrid">
    <w:name w:val="Table Grid"/>
    <w:basedOn w:val="TableNormal"/>
    <w:uiPriority w:val="59"/>
    <w:rsid w:val="004305C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007755">
      <w:bodyDiv w:val="1"/>
      <w:marLeft w:val="0"/>
      <w:marRight w:val="0"/>
      <w:marTop w:val="0"/>
      <w:marBottom w:val="0"/>
      <w:divBdr>
        <w:top w:val="none" w:sz="0" w:space="0" w:color="auto"/>
        <w:left w:val="none" w:sz="0" w:space="0" w:color="auto"/>
        <w:bottom w:val="none" w:sz="0" w:space="0" w:color="auto"/>
        <w:right w:val="none" w:sz="0" w:space="0" w:color="auto"/>
      </w:divBdr>
      <w:divsChild>
        <w:div w:id="562331598">
          <w:marLeft w:val="0"/>
          <w:marRight w:val="0"/>
          <w:marTop w:val="0"/>
          <w:marBottom w:val="0"/>
          <w:divBdr>
            <w:top w:val="none" w:sz="0" w:space="0" w:color="auto"/>
            <w:left w:val="none" w:sz="0" w:space="0" w:color="auto"/>
            <w:bottom w:val="none" w:sz="0" w:space="0" w:color="auto"/>
            <w:right w:val="none" w:sz="0" w:space="0" w:color="auto"/>
          </w:divBdr>
        </w:div>
        <w:div w:id="491799369">
          <w:marLeft w:val="0"/>
          <w:marRight w:val="0"/>
          <w:marTop w:val="0"/>
          <w:marBottom w:val="0"/>
          <w:divBdr>
            <w:top w:val="none" w:sz="0" w:space="0" w:color="auto"/>
            <w:left w:val="none" w:sz="0" w:space="0" w:color="auto"/>
            <w:bottom w:val="none" w:sz="0" w:space="0" w:color="auto"/>
            <w:right w:val="none" w:sz="0" w:space="0" w:color="auto"/>
          </w:divBdr>
        </w:div>
        <w:div w:id="1455638297">
          <w:marLeft w:val="0"/>
          <w:marRight w:val="0"/>
          <w:marTop w:val="0"/>
          <w:marBottom w:val="0"/>
          <w:divBdr>
            <w:top w:val="none" w:sz="0" w:space="0" w:color="auto"/>
            <w:left w:val="none" w:sz="0" w:space="0" w:color="auto"/>
            <w:bottom w:val="none" w:sz="0" w:space="0" w:color="auto"/>
            <w:right w:val="none" w:sz="0" w:space="0" w:color="auto"/>
          </w:divBdr>
        </w:div>
      </w:divsChild>
    </w:div>
    <w:div w:id="825589734">
      <w:bodyDiv w:val="1"/>
      <w:marLeft w:val="0"/>
      <w:marRight w:val="0"/>
      <w:marTop w:val="0"/>
      <w:marBottom w:val="0"/>
      <w:divBdr>
        <w:top w:val="none" w:sz="0" w:space="0" w:color="auto"/>
        <w:left w:val="none" w:sz="0" w:space="0" w:color="auto"/>
        <w:bottom w:val="none" w:sz="0" w:space="0" w:color="auto"/>
        <w:right w:val="none" w:sz="0" w:space="0" w:color="auto"/>
      </w:divBdr>
      <w:divsChild>
        <w:div w:id="103959839">
          <w:marLeft w:val="0"/>
          <w:marRight w:val="0"/>
          <w:marTop w:val="0"/>
          <w:marBottom w:val="0"/>
          <w:divBdr>
            <w:top w:val="none" w:sz="0" w:space="0" w:color="auto"/>
            <w:left w:val="none" w:sz="0" w:space="0" w:color="auto"/>
            <w:bottom w:val="none" w:sz="0" w:space="0" w:color="auto"/>
            <w:right w:val="none" w:sz="0" w:space="0" w:color="auto"/>
          </w:divBdr>
        </w:div>
        <w:div w:id="1341271884">
          <w:marLeft w:val="0"/>
          <w:marRight w:val="0"/>
          <w:marTop w:val="0"/>
          <w:marBottom w:val="0"/>
          <w:divBdr>
            <w:top w:val="none" w:sz="0" w:space="0" w:color="auto"/>
            <w:left w:val="none" w:sz="0" w:space="0" w:color="auto"/>
            <w:bottom w:val="none" w:sz="0" w:space="0" w:color="auto"/>
            <w:right w:val="none" w:sz="0" w:space="0" w:color="auto"/>
          </w:divBdr>
        </w:div>
        <w:div w:id="216673433">
          <w:marLeft w:val="0"/>
          <w:marRight w:val="0"/>
          <w:marTop w:val="0"/>
          <w:marBottom w:val="0"/>
          <w:divBdr>
            <w:top w:val="none" w:sz="0" w:space="0" w:color="auto"/>
            <w:left w:val="none" w:sz="0" w:space="0" w:color="auto"/>
            <w:bottom w:val="none" w:sz="0" w:space="0" w:color="auto"/>
            <w:right w:val="none" w:sz="0" w:space="0" w:color="auto"/>
          </w:divBdr>
        </w:div>
        <w:div w:id="2098552353">
          <w:marLeft w:val="0"/>
          <w:marRight w:val="0"/>
          <w:marTop w:val="0"/>
          <w:marBottom w:val="0"/>
          <w:divBdr>
            <w:top w:val="none" w:sz="0" w:space="0" w:color="auto"/>
            <w:left w:val="none" w:sz="0" w:space="0" w:color="auto"/>
            <w:bottom w:val="none" w:sz="0" w:space="0" w:color="auto"/>
            <w:right w:val="none" w:sz="0" w:space="0" w:color="auto"/>
          </w:divBdr>
        </w:div>
        <w:div w:id="921985433">
          <w:marLeft w:val="0"/>
          <w:marRight w:val="0"/>
          <w:marTop w:val="0"/>
          <w:marBottom w:val="0"/>
          <w:divBdr>
            <w:top w:val="none" w:sz="0" w:space="0" w:color="auto"/>
            <w:left w:val="none" w:sz="0" w:space="0" w:color="auto"/>
            <w:bottom w:val="none" w:sz="0" w:space="0" w:color="auto"/>
            <w:right w:val="none" w:sz="0" w:space="0" w:color="auto"/>
          </w:divBdr>
        </w:div>
        <w:div w:id="1226140596">
          <w:marLeft w:val="0"/>
          <w:marRight w:val="0"/>
          <w:marTop w:val="0"/>
          <w:marBottom w:val="0"/>
          <w:divBdr>
            <w:top w:val="none" w:sz="0" w:space="0" w:color="auto"/>
            <w:left w:val="none" w:sz="0" w:space="0" w:color="auto"/>
            <w:bottom w:val="none" w:sz="0" w:space="0" w:color="auto"/>
            <w:right w:val="none" w:sz="0" w:space="0" w:color="auto"/>
          </w:divBdr>
        </w:div>
        <w:div w:id="174341598">
          <w:marLeft w:val="0"/>
          <w:marRight w:val="0"/>
          <w:marTop w:val="0"/>
          <w:marBottom w:val="0"/>
          <w:divBdr>
            <w:top w:val="none" w:sz="0" w:space="0" w:color="auto"/>
            <w:left w:val="none" w:sz="0" w:space="0" w:color="auto"/>
            <w:bottom w:val="none" w:sz="0" w:space="0" w:color="auto"/>
            <w:right w:val="none" w:sz="0" w:space="0" w:color="auto"/>
          </w:divBdr>
        </w:div>
        <w:div w:id="2093113133">
          <w:marLeft w:val="0"/>
          <w:marRight w:val="0"/>
          <w:marTop w:val="0"/>
          <w:marBottom w:val="0"/>
          <w:divBdr>
            <w:top w:val="none" w:sz="0" w:space="0" w:color="auto"/>
            <w:left w:val="none" w:sz="0" w:space="0" w:color="auto"/>
            <w:bottom w:val="none" w:sz="0" w:space="0" w:color="auto"/>
            <w:right w:val="none" w:sz="0" w:space="0" w:color="auto"/>
          </w:divBdr>
        </w:div>
        <w:div w:id="1493332335">
          <w:marLeft w:val="0"/>
          <w:marRight w:val="0"/>
          <w:marTop w:val="0"/>
          <w:marBottom w:val="0"/>
          <w:divBdr>
            <w:top w:val="none" w:sz="0" w:space="0" w:color="auto"/>
            <w:left w:val="none" w:sz="0" w:space="0" w:color="auto"/>
            <w:bottom w:val="none" w:sz="0" w:space="0" w:color="auto"/>
            <w:right w:val="none" w:sz="0" w:space="0" w:color="auto"/>
          </w:divBdr>
        </w:div>
        <w:div w:id="1671055846">
          <w:marLeft w:val="0"/>
          <w:marRight w:val="0"/>
          <w:marTop w:val="0"/>
          <w:marBottom w:val="0"/>
          <w:divBdr>
            <w:top w:val="none" w:sz="0" w:space="0" w:color="auto"/>
            <w:left w:val="none" w:sz="0" w:space="0" w:color="auto"/>
            <w:bottom w:val="none" w:sz="0" w:space="0" w:color="auto"/>
            <w:right w:val="none" w:sz="0" w:space="0" w:color="auto"/>
          </w:divBdr>
        </w:div>
        <w:div w:id="730732636">
          <w:marLeft w:val="0"/>
          <w:marRight w:val="0"/>
          <w:marTop w:val="0"/>
          <w:marBottom w:val="0"/>
          <w:divBdr>
            <w:top w:val="none" w:sz="0" w:space="0" w:color="auto"/>
            <w:left w:val="none" w:sz="0" w:space="0" w:color="auto"/>
            <w:bottom w:val="none" w:sz="0" w:space="0" w:color="auto"/>
            <w:right w:val="none" w:sz="0" w:space="0" w:color="auto"/>
          </w:divBdr>
        </w:div>
        <w:div w:id="514655947">
          <w:marLeft w:val="0"/>
          <w:marRight w:val="0"/>
          <w:marTop w:val="0"/>
          <w:marBottom w:val="0"/>
          <w:divBdr>
            <w:top w:val="none" w:sz="0" w:space="0" w:color="auto"/>
            <w:left w:val="none" w:sz="0" w:space="0" w:color="auto"/>
            <w:bottom w:val="none" w:sz="0" w:space="0" w:color="auto"/>
            <w:right w:val="none" w:sz="0" w:space="0" w:color="auto"/>
          </w:divBdr>
        </w:div>
      </w:divsChild>
    </w:div>
    <w:div w:id="1021127702">
      <w:bodyDiv w:val="1"/>
      <w:marLeft w:val="0"/>
      <w:marRight w:val="0"/>
      <w:marTop w:val="0"/>
      <w:marBottom w:val="0"/>
      <w:divBdr>
        <w:top w:val="none" w:sz="0" w:space="0" w:color="auto"/>
        <w:left w:val="none" w:sz="0" w:space="0" w:color="auto"/>
        <w:bottom w:val="none" w:sz="0" w:space="0" w:color="auto"/>
        <w:right w:val="none" w:sz="0" w:space="0" w:color="auto"/>
      </w:divBdr>
      <w:divsChild>
        <w:div w:id="1319306518">
          <w:marLeft w:val="0"/>
          <w:marRight w:val="0"/>
          <w:marTop w:val="0"/>
          <w:marBottom w:val="0"/>
          <w:divBdr>
            <w:top w:val="none" w:sz="0" w:space="0" w:color="auto"/>
            <w:left w:val="none" w:sz="0" w:space="0" w:color="auto"/>
            <w:bottom w:val="none" w:sz="0" w:space="0" w:color="auto"/>
            <w:right w:val="none" w:sz="0" w:space="0" w:color="auto"/>
          </w:divBdr>
          <w:divsChild>
            <w:div w:id="650141104">
              <w:marLeft w:val="0"/>
              <w:marRight w:val="0"/>
              <w:marTop w:val="0"/>
              <w:marBottom w:val="0"/>
              <w:divBdr>
                <w:top w:val="none" w:sz="0" w:space="0" w:color="auto"/>
                <w:left w:val="none" w:sz="0" w:space="0" w:color="auto"/>
                <w:bottom w:val="none" w:sz="0" w:space="0" w:color="auto"/>
                <w:right w:val="none" w:sz="0" w:space="0" w:color="auto"/>
              </w:divBdr>
            </w:div>
          </w:divsChild>
        </w:div>
        <w:div w:id="572199047">
          <w:marLeft w:val="0"/>
          <w:marRight w:val="0"/>
          <w:marTop w:val="0"/>
          <w:marBottom w:val="0"/>
          <w:divBdr>
            <w:top w:val="none" w:sz="0" w:space="0" w:color="auto"/>
            <w:left w:val="none" w:sz="0" w:space="0" w:color="auto"/>
            <w:bottom w:val="none" w:sz="0" w:space="0" w:color="auto"/>
            <w:right w:val="none" w:sz="0" w:space="0" w:color="auto"/>
          </w:divBdr>
        </w:div>
        <w:div w:id="299699926">
          <w:marLeft w:val="0"/>
          <w:marRight w:val="0"/>
          <w:marTop w:val="0"/>
          <w:marBottom w:val="0"/>
          <w:divBdr>
            <w:top w:val="none" w:sz="0" w:space="0" w:color="auto"/>
            <w:left w:val="none" w:sz="0" w:space="0" w:color="auto"/>
            <w:bottom w:val="none" w:sz="0" w:space="0" w:color="auto"/>
            <w:right w:val="none" w:sz="0" w:space="0" w:color="auto"/>
          </w:divBdr>
        </w:div>
      </w:divsChild>
    </w:div>
    <w:div w:id="1330252910">
      <w:bodyDiv w:val="1"/>
      <w:marLeft w:val="0"/>
      <w:marRight w:val="0"/>
      <w:marTop w:val="0"/>
      <w:marBottom w:val="0"/>
      <w:divBdr>
        <w:top w:val="none" w:sz="0" w:space="0" w:color="auto"/>
        <w:left w:val="none" w:sz="0" w:space="0" w:color="auto"/>
        <w:bottom w:val="none" w:sz="0" w:space="0" w:color="auto"/>
        <w:right w:val="none" w:sz="0" w:space="0" w:color="auto"/>
      </w:divBdr>
    </w:div>
    <w:div w:id="1724019915">
      <w:bodyDiv w:val="1"/>
      <w:marLeft w:val="0"/>
      <w:marRight w:val="0"/>
      <w:marTop w:val="0"/>
      <w:marBottom w:val="0"/>
      <w:divBdr>
        <w:top w:val="none" w:sz="0" w:space="0" w:color="auto"/>
        <w:left w:val="none" w:sz="0" w:space="0" w:color="auto"/>
        <w:bottom w:val="none" w:sz="0" w:space="0" w:color="auto"/>
        <w:right w:val="none" w:sz="0" w:space="0" w:color="auto"/>
      </w:divBdr>
      <w:divsChild>
        <w:div w:id="980156546">
          <w:marLeft w:val="0"/>
          <w:marRight w:val="0"/>
          <w:marTop w:val="0"/>
          <w:marBottom w:val="0"/>
          <w:divBdr>
            <w:top w:val="none" w:sz="0" w:space="0" w:color="auto"/>
            <w:left w:val="none" w:sz="0" w:space="0" w:color="auto"/>
            <w:bottom w:val="none" w:sz="0" w:space="0" w:color="auto"/>
            <w:right w:val="none" w:sz="0" w:space="0" w:color="auto"/>
          </w:divBdr>
        </w:div>
        <w:div w:id="2023166957">
          <w:marLeft w:val="0"/>
          <w:marRight w:val="0"/>
          <w:marTop w:val="0"/>
          <w:marBottom w:val="0"/>
          <w:divBdr>
            <w:top w:val="none" w:sz="0" w:space="0" w:color="auto"/>
            <w:left w:val="none" w:sz="0" w:space="0" w:color="auto"/>
            <w:bottom w:val="none" w:sz="0" w:space="0" w:color="auto"/>
            <w:right w:val="none" w:sz="0" w:space="0" w:color="auto"/>
          </w:divBdr>
        </w:div>
        <w:div w:id="1798179641">
          <w:marLeft w:val="0"/>
          <w:marRight w:val="0"/>
          <w:marTop w:val="0"/>
          <w:marBottom w:val="0"/>
          <w:divBdr>
            <w:top w:val="none" w:sz="0" w:space="0" w:color="auto"/>
            <w:left w:val="none" w:sz="0" w:space="0" w:color="auto"/>
            <w:bottom w:val="none" w:sz="0" w:space="0" w:color="auto"/>
            <w:right w:val="none" w:sz="0" w:space="0" w:color="auto"/>
          </w:divBdr>
        </w:div>
        <w:div w:id="220407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ncsu.edu/policy/pol-05-15-03/" TargetMode="External"/><Relationship Id="rId13" Type="http://schemas.openxmlformats.org/officeDocument/2006/relationships/hyperlink" Target="https://policies.ncsu.edu/wordpress/wp-content/uploads/2016/06/Non-Salary-Compensation-Form-fillable_FINALv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rim.hr.ncsu.edu/non-salary-compens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roller.ofa.ncsu.edu/payroll/non-salary-compens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ntroller.ofa.ncsu.edu/accounts-payable/relocation-allowance/" TargetMode="External"/><Relationship Id="rId4" Type="http://schemas.openxmlformats.org/officeDocument/2006/relationships/settings" Target="settings.xml"/><Relationship Id="rId9" Type="http://schemas.openxmlformats.org/officeDocument/2006/relationships/hyperlink" Target="https://policies.ncsu.edu/policy/pol-05-15-03/"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s://busoffice.chass.ncsu.edu/finance/" TargetMode="External"/><Relationship Id="rId1" Type="http://schemas.openxmlformats.org/officeDocument/2006/relationships/hyperlink" Target="https://busoffice.chass.ncsu.edu/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FC189-300F-4045-901A-C4363E071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E McCallum Jr.</dc:creator>
  <cp:lastModifiedBy>Chelsea Nuzum</cp:lastModifiedBy>
  <cp:revision>6</cp:revision>
  <cp:lastPrinted>2019-03-19T20:20:00Z</cp:lastPrinted>
  <dcterms:created xsi:type="dcterms:W3CDTF">2022-07-28T00:50:00Z</dcterms:created>
  <dcterms:modified xsi:type="dcterms:W3CDTF">2024-04-18T14:27:00Z</dcterms:modified>
</cp:coreProperties>
</file>